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C7E0" w14:textId="77777777" w:rsidR="008D16E6" w:rsidRPr="00EC2AFC" w:rsidRDefault="008D16E6" w:rsidP="008D16E6">
      <w:pPr>
        <w:spacing w:after="0" w:line="240" w:lineRule="auto"/>
        <w:jc w:val="both"/>
        <w:rPr>
          <w:rFonts w:ascii="Times New Roman" w:hAnsi="Times New Roman"/>
          <w:b/>
          <w:u w:val="single"/>
          <w:lang w:val="fr-FR"/>
        </w:rPr>
      </w:pPr>
      <w:r w:rsidRPr="009D0A48">
        <w:rPr>
          <w:rFonts w:ascii="Times New Roman" w:hAnsi="Times New Roman"/>
          <w:b/>
          <w:color w:val="000000"/>
          <w:u w:val="single"/>
          <w:lang w:val="en"/>
        </w:rPr>
        <w:t xml:space="preserve">Annex </w:t>
      </w:r>
      <w:r w:rsidRPr="009D0A48">
        <w:rPr>
          <w:rFonts w:ascii="Times New Roman" w:hAnsi="Times New Roman"/>
          <w:b/>
          <w:u w:val="single"/>
          <w:lang w:val="en"/>
        </w:rPr>
        <w:t xml:space="preserve">4 – Cost proposal (30 points) </w:t>
      </w:r>
      <w:bookmarkStart w:id="0" w:name="_Hlk72492498"/>
    </w:p>
    <w:p w14:paraId="423ED29D" w14:textId="77777777" w:rsidR="008D16E6" w:rsidRPr="009D0A48" w:rsidRDefault="008D16E6" w:rsidP="008D16E6">
      <w:pPr>
        <w:spacing w:after="0" w:line="240" w:lineRule="auto"/>
        <w:jc w:val="both"/>
        <w:rPr>
          <w:rFonts w:ascii="Times New Roman" w:hAnsi="Times New Roman"/>
          <w:bCs/>
        </w:rPr>
      </w:pPr>
      <w:r w:rsidRPr="009D0A48">
        <w:rPr>
          <w:rFonts w:ascii="Times New Roman" w:hAnsi="Times New Roman"/>
          <w:bCs/>
          <w:lang w:val="en"/>
        </w:rPr>
        <w:t xml:space="preserve">The amount of the budget requested must </w:t>
      </w:r>
      <w:r>
        <w:rPr>
          <w:rFonts w:ascii="Times New Roman" w:hAnsi="Times New Roman"/>
          <w:bCs/>
          <w:lang w:val="en"/>
        </w:rPr>
        <w:t>link</w:t>
      </w:r>
      <w:r w:rsidRPr="009D0A48">
        <w:rPr>
          <w:rFonts w:ascii="Times New Roman" w:hAnsi="Times New Roman"/>
          <w:bCs/>
          <w:lang w:val="en"/>
        </w:rPr>
        <w:t xml:space="preserve"> with the objectives of the project. The applicant shall allocate the budget according to the activities listed in the program terms of reference. </w:t>
      </w:r>
    </w:p>
    <w:p w14:paraId="7F229CA2" w14:textId="77777777" w:rsidR="008D16E6" w:rsidRPr="009D0A48" w:rsidRDefault="008D16E6" w:rsidP="008D16E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DDFFD9E" w14:textId="77777777" w:rsidR="008D16E6" w:rsidRPr="00EC2AFC" w:rsidRDefault="008D16E6" w:rsidP="008D16E6">
      <w:pPr>
        <w:spacing w:after="0" w:line="240" w:lineRule="auto"/>
        <w:jc w:val="both"/>
        <w:rPr>
          <w:rFonts w:ascii="Times New Roman" w:hAnsi="Times New Roman"/>
          <w:bCs/>
          <w:lang w:val="fr-FR"/>
        </w:rPr>
      </w:pPr>
      <w:r w:rsidRPr="009D0A48">
        <w:rPr>
          <w:rFonts w:ascii="Times New Roman" w:hAnsi="Times New Roman"/>
          <w:bCs/>
          <w:lang w:val="en"/>
        </w:rPr>
        <w:t xml:space="preserve">The bidder must provide a cost proposal with detailed items in the general cost categories. The offeror may suggest additional cost </w:t>
      </w:r>
      <w:proofErr w:type="gramStart"/>
      <w:r w:rsidRPr="009D0A48">
        <w:rPr>
          <w:rFonts w:ascii="Times New Roman" w:hAnsi="Times New Roman"/>
          <w:bCs/>
          <w:lang w:val="en"/>
        </w:rPr>
        <w:t>categories</w:t>
      </w:r>
      <w:proofErr w:type="gramEnd"/>
      <w:r w:rsidRPr="009D0A48">
        <w:rPr>
          <w:rFonts w:ascii="Times New Roman" w:hAnsi="Times New Roman"/>
          <w:bCs/>
          <w:lang w:val="en"/>
        </w:rPr>
        <w:t xml:space="preserve"> if necessary, if the budget items do not fall within a specific cost category. Please submit a budget for each evaluation</w:t>
      </w:r>
    </w:p>
    <w:p w14:paraId="45117F86" w14:textId="77777777" w:rsidR="008D16E6" w:rsidRPr="00EC2AFC" w:rsidRDefault="008D16E6" w:rsidP="008D16E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293"/>
        <w:gridCol w:w="1293"/>
        <w:gridCol w:w="1342"/>
        <w:gridCol w:w="1334"/>
        <w:gridCol w:w="1488"/>
      </w:tblGrid>
      <w:tr w:rsidR="008D16E6" w:rsidRPr="009D0A48" w14:paraId="2F7DE8E6" w14:textId="77777777" w:rsidTr="007E2050">
        <w:trPr>
          <w:trHeight w:val="1010"/>
          <w:jc w:val="center"/>
        </w:trPr>
        <w:tc>
          <w:tcPr>
            <w:tcW w:w="1257" w:type="pct"/>
            <w:shd w:val="clear" w:color="auto" w:fill="002A6C"/>
            <w:vAlign w:val="center"/>
          </w:tcPr>
          <w:p w14:paraId="4B560B86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  <w:r w:rsidRPr="009D0A48">
              <w:rPr>
                <w:rFonts w:ascii="Times New Roman" w:hAnsi="Times New Roman"/>
                <w:color w:val="FFFFFF"/>
                <w:lang w:val="en"/>
              </w:rPr>
              <w:t>Cost elements</w:t>
            </w:r>
          </w:p>
        </w:tc>
        <w:tc>
          <w:tcPr>
            <w:tcW w:w="717" w:type="pct"/>
            <w:shd w:val="clear" w:color="auto" w:fill="002A6C"/>
          </w:tcPr>
          <w:p w14:paraId="3F04F756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</w:p>
          <w:p w14:paraId="3C91680C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  <w:r w:rsidRPr="009D0A48">
              <w:rPr>
                <w:rFonts w:ascii="Times New Roman" w:hAnsi="Times New Roman"/>
                <w:color w:val="FFFFFF"/>
                <w:lang w:val="en"/>
              </w:rPr>
              <w:t>Unit</w:t>
            </w:r>
          </w:p>
        </w:tc>
        <w:tc>
          <w:tcPr>
            <w:tcW w:w="717" w:type="pct"/>
            <w:shd w:val="clear" w:color="auto" w:fill="002A6C"/>
          </w:tcPr>
          <w:p w14:paraId="31516AFA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</w:p>
          <w:p w14:paraId="1B81D1C3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  <w:r w:rsidRPr="009D0A48">
              <w:rPr>
                <w:rFonts w:ascii="Times New Roman" w:hAnsi="Times New Roman"/>
                <w:color w:val="FFFFFF"/>
                <w:lang w:val="en"/>
              </w:rPr>
              <w:t>Quantity</w:t>
            </w:r>
          </w:p>
        </w:tc>
        <w:tc>
          <w:tcPr>
            <w:tcW w:w="744" w:type="pct"/>
            <w:shd w:val="clear" w:color="auto" w:fill="002A6C"/>
          </w:tcPr>
          <w:p w14:paraId="5E58F09E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</w:p>
          <w:p w14:paraId="1513C1E1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  <w:r w:rsidRPr="009D0A48">
              <w:rPr>
                <w:rFonts w:ascii="Times New Roman" w:hAnsi="Times New Roman"/>
                <w:color w:val="FFFFFF"/>
                <w:lang w:val="en"/>
              </w:rPr>
              <w:t>Unit costs</w:t>
            </w:r>
          </w:p>
        </w:tc>
        <w:tc>
          <w:tcPr>
            <w:tcW w:w="740" w:type="pct"/>
            <w:shd w:val="clear" w:color="auto" w:fill="002A6C"/>
          </w:tcPr>
          <w:p w14:paraId="32019E78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</w:p>
          <w:p w14:paraId="0329313F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lang w:val="fr-FR"/>
              </w:rPr>
            </w:pPr>
            <w:r w:rsidRPr="009D0A48">
              <w:rPr>
                <w:rFonts w:ascii="Times New Roman" w:hAnsi="Times New Roman"/>
                <w:color w:val="FFFFFF"/>
                <w:lang w:val="en"/>
              </w:rPr>
              <w:t>Total cost</w:t>
            </w:r>
          </w:p>
        </w:tc>
        <w:tc>
          <w:tcPr>
            <w:tcW w:w="825" w:type="pct"/>
            <w:shd w:val="clear" w:color="auto" w:fill="002A6C"/>
            <w:vAlign w:val="center"/>
          </w:tcPr>
          <w:p w14:paraId="5E52F495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FFFF"/>
                <w:lang w:val="fr-FR"/>
              </w:rPr>
            </w:pPr>
            <w:r w:rsidRPr="009D0A48">
              <w:rPr>
                <w:rFonts w:ascii="Times New Roman" w:hAnsi="Times New Roman"/>
                <w:i/>
                <w:color w:val="FFFFFF"/>
                <w:lang w:val="en"/>
              </w:rPr>
              <w:t>Notes</w:t>
            </w:r>
          </w:p>
        </w:tc>
      </w:tr>
      <w:tr w:rsidR="008D16E6" w:rsidRPr="009D0A48" w14:paraId="19AD10A4" w14:textId="77777777" w:rsidTr="007E2050">
        <w:trPr>
          <w:trHeight w:val="206"/>
          <w:jc w:val="center"/>
        </w:trPr>
        <w:tc>
          <w:tcPr>
            <w:tcW w:w="1257" w:type="pct"/>
          </w:tcPr>
          <w:p w14:paraId="0C5C9833" w14:textId="77777777" w:rsidR="008D16E6" w:rsidRPr="00EC2AFC" w:rsidRDefault="008D16E6" w:rsidP="008D16E6">
            <w:pPr>
              <w:numPr>
                <w:ilvl w:val="0"/>
                <w:numId w:val="3"/>
              </w:numPr>
              <w:tabs>
                <w:tab w:val="clear" w:pos="720"/>
                <w:tab w:val="left" w:pos="36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9D0A48">
              <w:rPr>
                <w:rFonts w:ascii="Times New Roman" w:hAnsi="Times New Roman"/>
                <w:lang w:val="en"/>
              </w:rPr>
              <w:t>Personnel/Work</w:t>
            </w:r>
          </w:p>
        </w:tc>
        <w:tc>
          <w:tcPr>
            <w:tcW w:w="717" w:type="pct"/>
          </w:tcPr>
          <w:p w14:paraId="57478B6E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17" w:type="pct"/>
          </w:tcPr>
          <w:p w14:paraId="6EBCEFEC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4" w:type="pct"/>
          </w:tcPr>
          <w:p w14:paraId="614D1F54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0" w:type="pct"/>
          </w:tcPr>
          <w:p w14:paraId="66B7B740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25" w:type="pct"/>
          </w:tcPr>
          <w:p w14:paraId="30FDF502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D16E6" w:rsidRPr="009D0A48" w14:paraId="2D1D78E8" w14:textId="77777777" w:rsidTr="007E2050">
        <w:trPr>
          <w:trHeight w:val="215"/>
          <w:jc w:val="center"/>
        </w:trPr>
        <w:tc>
          <w:tcPr>
            <w:tcW w:w="1257" w:type="pct"/>
          </w:tcPr>
          <w:p w14:paraId="1F641EEC" w14:textId="77777777" w:rsidR="008D16E6" w:rsidRPr="00EC2AFC" w:rsidRDefault="008D16E6" w:rsidP="008D16E6">
            <w:pPr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9D0A48">
              <w:rPr>
                <w:rFonts w:ascii="Times New Roman" w:hAnsi="Times New Roman"/>
                <w:lang w:val="en"/>
              </w:rPr>
              <w:t>Equipment</w:t>
            </w:r>
          </w:p>
        </w:tc>
        <w:tc>
          <w:tcPr>
            <w:tcW w:w="717" w:type="pct"/>
          </w:tcPr>
          <w:p w14:paraId="5F03182D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17" w:type="pct"/>
          </w:tcPr>
          <w:p w14:paraId="14C36B63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4" w:type="pct"/>
          </w:tcPr>
          <w:p w14:paraId="27FB842A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0" w:type="pct"/>
          </w:tcPr>
          <w:p w14:paraId="770A18DE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25" w:type="pct"/>
          </w:tcPr>
          <w:p w14:paraId="59690624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D16E6" w:rsidRPr="009D0A48" w14:paraId="2442B562" w14:textId="77777777" w:rsidTr="007E2050">
        <w:trPr>
          <w:trHeight w:val="215"/>
          <w:jc w:val="center"/>
        </w:trPr>
        <w:tc>
          <w:tcPr>
            <w:tcW w:w="1257" w:type="pct"/>
          </w:tcPr>
          <w:p w14:paraId="5EB43059" w14:textId="77777777" w:rsidR="008D16E6" w:rsidRPr="00EC2AFC" w:rsidRDefault="008D16E6" w:rsidP="008D16E6">
            <w:pPr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9D0A48">
              <w:rPr>
                <w:rFonts w:ascii="Times New Roman" w:hAnsi="Times New Roman"/>
                <w:lang w:val="en"/>
              </w:rPr>
              <w:t>Transport</w:t>
            </w:r>
          </w:p>
        </w:tc>
        <w:tc>
          <w:tcPr>
            <w:tcW w:w="717" w:type="pct"/>
          </w:tcPr>
          <w:p w14:paraId="41AFBEE4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17" w:type="pct"/>
          </w:tcPr>
          <w:p w14:paraId="0E3B14A3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4" w:type="pct"/>
          </w:tcPr>
          <w:p w14:paraId="0B936299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0" w:type="pct"/>
          </w:tcPr>
          <w:p w14:paraId="303A2F98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25" w:type="pct"/>
          </w:tcPr>
          <w:p w14:paraId="4340B3E8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D16E6" w:rsidRPr="009D0A48" w14:paraId="0B25DE44" w14:textId="77777777" w:rsidTr="007E2050">
        <w:trPr>
          <w:trHeight w:val="233"/>
          <w:jc w:val="center"/>
        </w:trPr>
        <w:tc>
          <w:tcPr>
            <w:tcW w:w="1257" w:type="pct"/>
          </w:tcPr>
          <w:p w14:paraId="2E352BDF" w14:textId="77777777" w:rsidR="008D16E6" w:rsidRPr="00EC2AFC" w:rsidRDefault="008D16E6" w:rsidP="008D16E6">
            <w:pPr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9D0A48">
              <w:rPr>
                <w:rFonts w:ascii="Times New Roman" w:hAnsi="Times New Roman"/>
                <w:lang w:val="en"/>
              </w:rPr>
              <w:t>Communications</w:t>
            </w:r>
          </w:p>
        </w:tc>
        <w:tc>
          <w:tcPr>
            <w:tcW w:w="717" w:type="pct"/>
          </w:tcPr>
          <w:p w14:paraId="48E0D77D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17" w:type="pct"/>
          </w:tcPr>
          <w:p w14:paraId="74B7A934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4" w:type="pct"/>
          </w:tcPr>
          <w:p w14:paraId="44E32514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0" w:type="pct"/>
          </w:tcPr>
          <w:p w14:paraId="59124D66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25" w:type="pct"/>
          </w:tcPr>
          <w:p w14:paraId="2E3039CB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D16E6" w:rsidRPr="009D0A48" w14:paraId="66831AAB" w14:textId="77777777" w:rsidTr="007E2050">
        <w:trPr>
          <w:trHeight w:val="323"/>
          <w:jc w:val="center"/>
        </w:trPr>
        <w:tc>
          <w:tcPr>
            <w:tcW w:w="1257" w:type="pct"/>
          </w:tcPr>
          <w:p w14:paraId="46CC8F0D" w14:textId="77777777" w:rsidR="008D16E6" w:rsidRPr="00EC2AFC" w:rsidRDefault="008D16E6" w:rsidP="007E2050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9D0A48">
              <w:rPr>
                <w:rFonts w:ascii="Times New Roman" w:hAnsi="Times New Roman"/>
                <w:lang w:val="en"/>
              </w:rPr>
              <w:t>7. Other direct costs</w:t>
            </w:r>
          </w:p>
        </w:tc>
        <w:tc>
          <w:tcPr>
            <w:tcW w:w="717" w:type="pct"/>
          </w:tcPr>
          <w:p w14:paraId="3098AFFA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17" w:type="pct"/>
          </w:tcPr>
          <w:p w14:paraId="6CA3E3E2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4" w:type="pct"/>
          </w:tcPr>
          <w:p w14:paraId="666A3BAD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0" w:type="pct"/>
          </w:tcPr>
          <w:p w14:paraId="14804F51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25" w:type="pct"/>
          </w:tcPr>
          <w:p w14:paraId="196F8662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D16E6" w:rsidRPr="009D0A48" w14:paraId="7ACC3633" w14:textId="77777777" w:rsidTr="007E2050">
        <w:trPr>
          <w:trHeight w:val="278"/>
          <w:jc w:val="center"/>
        </w:trPr>
        <w:tc>
          <w:tcPr>
            <w:tcW w:w="1257" w:type="pct"/>
          </w:tcPr>
          <w:p w14:paraId="4EA2ED62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fr-FR"/>
              </w:rPr>
            </w:pPr>
            <w:r w:rsidRPr="009D0A48">
              <w:rPr>
                <w:rFonts w:ascii="Times New Roman" w:hAnsi="Times New Roman"/>
                <w:b/>
                <w:bCs/>
                <w:lang w:val="en"/>
              </w:rPr>
              <w:t>TOTAL BUDGET</w:t>
            </w:r>
          </w:p>
        </w:tc>
        <w:tc>
          <w:tcPr>
            <w:tcW w:w="717" w:type="pct"/>
          </w:tcPr>
          <w:p w14:paraId="5B79AB95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17" w:type="pct"/>
          </w:tcPr>
          <w:p w14:paraId="65B84AF1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4" w:type="pct"/>
          </w:tcPr>
          <w:p w14:paraId="6A1FFB41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40" w:type="pct"/>
          </w:tcPr>
          <w:p w14:paraId="67F6E88B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25" w:type="pct"/>
          </w:tcPr>
          <w:p w14:paraId="064406F9" w14:textId="77777777" w:rsidR="008D16E6" w:rsidRPr="00EC2AFC" w:rsidRDefault="008D16E6" w:rsidP="007E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bookmarkEnd w:id="0"/>
    <w:p w14:paraId="21C44C78" w14:textId="3DA1E42D" w:rsidR="00246562" w:rsidRPr="007C2B8B" w:rsidRDefault="008D16E6" w:rsidP="008D16E6">
      <w:pPr>
        <w:spacing w:after="0" w:line="240" w:lineRule="auto"/>
        <w:jc w:val="both"/>
      </w:pPr>
      <w:r w:rsidRPr="009D0A48">
        <w:rPr>
          <w:rFonts w:ascii="Times New Roman" w:hAnsi="Times New Roman"/>
          <w:b/>
          <w:u w:val="single"/>
          <w:lang w:val="en"/>
        </w:rPr>
        <w:t>Note:</w:t>
      </w:r>
      <w:r w:rsidRPr="009D0A48">
        <w:rPr>
          <w:rFonts w:ascii="Times New Roman" w:hAnsi="Times New Roman"/>
          <w:bCs/>
          <w:lang w:val="en"/>
        </w:rPr>
        <w:t xml:space="preserve"> </w:t>
      </w:r>
      <w:r>
        <w:rPr>
          <w:rFonts w:ascii="Times New Roman" w:hAnsi="Times New Roman"/>
          <w:bCs/>
          <w:lang w:val="en"/>
        </w:rPr>
        <w:t xml:space="preserve">Any payment terms and schedule are subject to negotiations following CNFA’s evaluation of offers. </w:t>
      </w:r>
      <w:r w:rsidRPr="009D0A48">
        <w:rPr>
          <w:rFonts w:ascii="Times New Roman" w:hAnsi="Times New Roman"/>
          <w:bCs/>
          <w:lang w:val="en"/>
        </w:rPr>
        <w:t xml:space="preserve"> </w:t>
      </w:r>
    </w:p>
    <w:sectPr w:rsidR="00246562" w:rsidRPr="007C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7AF"/>
    <w:multiLevelType w:val="hybridMultilevel"/>
    <w:tmpl w:val="82F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D5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 w16cid:durableId="1988701881">
    <w:abstractNumId w:val="1"/>
  </w:num>
  <w:num w:numId="2" w16cid:durableId="448741420">
    <w:abstractNumId w:val="0"/>
  </w:num>
  <w:num w:numId="3" w16cid:durableId="7998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62"/>
    <w:rsid w:val="00246562"/>
    <w:rsid w:val="007C2B8B"/>
    <w:rsid w:val="008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42B2"/>
  <w15:chartTrackingRefBased/>
  <w15:docId w15:val="{61ACC885-B242-463F-819E-965390B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6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RD Bullet List,Bullet List,FooterText,numbered,Paragraphe de liste1,Bulletr List Paragraph,列出段落,列出段落1,List Paragraph1,List Paragraph2,List Paragraph21,Párrafo de lista1,Parágrafo da Lista1,リスト段落1,Listeafsnit1,List Paragraph11,Ha"/>
    <w:basedOn w:val="Normal"/>
    <w:link w:val="ListParagraphChar"/>
    <w:uiPriority w:val="34"/>
    <w:qFormat/>
    <w:rsid w:val="007C2B8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aliases w:val="IRD Bullet List Char,Bullet List Char,FooterText Char,numbered Char,Paragraphe de liste1 Char,Bulletr List Paragraph Char,列出段落 Char,列出段落1 Char,List Paragraph1 Char,List Paragraph2 Char,List Paragraph21 Char,Párrafo de lista1 Char"/>
    <w:link w:val="ListParagraph"/>
    <w:uiPriority w:val="34"/>
    <w:qFormat/>
    <w:locked/>
    <w:rsid w:val="007C2B8B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2023-02-01T16:45:00Z</dcterms:created>
  <dcterms:modified xsi:type="dcterms:W3CDTF">2023-02-01T16:45:00Z</dcterms:modified>
</cp:coreProperties>
</file>