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A09C" w14:textId="64270EF0" w:rsidR="00995136" w:rsidRPr="00DA748E" w:rsidRDefault="00995136" w:rsidP="00556928">
      <w:pPr>
        <w:spacing w:after="0" w:line="240" w:lineRule="auto"/>
        <w:jc w:val="center"/>
        <w:rPr>
          <w:rFonts w:ascii="Times New Roman" w:hAnsi="Times New Roman" w:cs="Times New Roman"/>
          <w:b/>
          <w:bCs/>
          <w:sz w:val="24"/>
          <w:szCs w:val="24"/>
        </w:rPr>
      </w:pPr>
      <w:r w:rsidRPr="00DA748E">
        <w:rPr>
          <w:rFonts w:ascii="Times New Roman" w:hAnsi="Times New Roman" w:cs="Times New Roman"/>
          <w:noProof/>
          <w:sz w:val="24"/>
          <w:szCs w:val="24"/>
        </w:rPr>
        <w:drawing>
          <wp:inline distT="0" distB="0" distL="0" distR="0" wp14:anchorId="1C0F988A" wp14:editId="1D5BB03D">
            <wp:extent cx="1675130" cy="7524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419" cy="781803"/>
                    </a:xfrm>
                    <a:prstGeom prst="rect">
                      <a:avLst/>
                    </a:prstGeom>
                    <a:noFill/>
                    <a:ln>
                      <a:noFill/>
                    </a:ln>
                  </pic:spPr>
                </pic:pic>
              </a:graphicData>
            </a:graphic>
          </wp:inline>
        </w:drawing>
      </w:r>
    </w:p>
    <w:p w14:paraId="285478DE" w14:textId="77777777" w:rsidR="00DA748E" w:rsidRDefault="00DA748E" w:rsidP="004C0F33">
      <w:pPr>
        <w:spacing w:after="0" w:line="240" w:lineRule="auto"/>
        <w:jc w:val="center"/>
        <w:rPr>
          <w:rFonts w:ascii="Times New Roman" w:hAnsi="Times New Roman" w:cs="Times New Roman"/>
          <w:b/>
          <w:bCs/>
          <w:sz w:val="24"/>
          <w:szCs w:val="24"/>
        </w:rPr>
      </w:pPr>
    </w:p>
    <w:p w14:paraId="057A7DD3" w14:textId="1EF17FCC" w:rsidR="004C0F33" w:rsidRDefault="00DA748E" w:rsidP="00DA748E">
      <w:pPr>
        <w:spacing w:after="0" w:line="240" w:lineRule="auto"/>
        <w:jc w:val="center"/>
        <w:rPr>
          <w:rFonts w:ascii="Times New Roman" w:hAnsi="Times New Roman" w:cs="Times New Roman"/>
          <w:b/>
          <w:bCs/>
          <w:iCs/>
          <w:sz w:val="24"/>
          <w:szCs w:val="24"/>
          <w:lang w:val="en-GB"/>
        </w:rPr>
      </w:pPr>
      <w:r>
        <w:rPr>
          <w:rFonts w:ascii="Times New Roman" w:hAnsi="Times New Roman" w:cs="Times New Roman"/>
          <w:b/>
          <w:bCs/>
          <w:sz w:val="24"/>
          <w:szCs w:val="24"/>
        </w:rPr>
        <w:t xml:space="preserve">TERMS OF REFERENCE </w:t>
      </w:r>
      <w:r>
        <w:rPr>
          <w:rFonts w:ascii="Times New Roman" w:hAnsi="Times New Roman" w:cs="Times New Roman"/>
          <w:b/>
          <w:bCs/>
          <w:iCs/>
          <w:sz w:val="24"/>
          <w:szCs w:val="24"/>
          <w:lang w:val="en-GB"/>
        </w:rPr>
        <w:t xml:space="preserve">FOR THE </w:t>
      </w:r>
      <w:r w:rsidRPr="00DA748E">
        <w:rPr>
          <w:rFonts w:ascii="Times New Roman" w:hAnsi="Times New Roman" w:cs="Times New Roman"/>
          <w:b/>
          <w:bCs/>
          <w:iCs/>
          <w:sz w:val="24"/>
          <w:szCs w:val="24"/>
          <w:lang w:val="en-GB"/>
        </w:rPr>
        <w:t xml:space="preserve">HIRING OF </w:t>
      </w:r>
      <w:r>
        <w:rPr>
          <w:rFonts w:ascii="Times New Roman" w:hAnsi="Times New Roman" w:cs="Times New Roman"/>
          <w:b/>
          <w:bCs/>
          <w:iCs/>
          <w:sz w:val="24"/>
          <w:szCs w:val="24"/>
          <w:lang w:val="en-GB"/>
        </w:rPr>
        <w:t xml:space="preserve">AN </w:t>
      </w:r>
      <w:r w:rsidRPr="00DA748E">
        <w:rPr>
          <w:rFonts w:ascii="Times New Roman" w:hAnsi="Times New Roman" w:cs="Times New Roman"/>
          <w:b/>
          <w:bCs/>
          <w:iCs/>
          <w:sz w:val="24"/>
          <w:szCs w:val="24"/>
          <w:lang w:val="en-GB"/>
        </w:rPr>
        <w:t>INTERNAL AUDIT FIRM FOR FARA</w:t>
      </w:r>
    </w:p>
    <w:p w14:paraId="016E77C3" w14:textId="05F51B42" w:rsidR="00DA748E" w:rsidRDefault="00DA748E" w:rsidP="00DA748E">
      <w:pPr>
        <w:spacing w:after="0" w:line="240" w:lineRule="auto"/>
        <w:jc w:val="center"/>
        <w:rPr>
          <w:rFonts w:ascii="Times New Roman" w:hAnsi="Times New Roman" w:cs="Times New Roman"/>
          <w:b/>
          <w:bCs/>
          <w:iCs/>
          <w:sz w:val="24"/>
          <w:szCs w:val="24"/>
          <w:lang w:val="en-GB"/>
        </w:rPr>
      </w:pPr>
    </w:p>
    <w:p w14:paraId="272354EC" w14:textId="38171A0B" w:rsidR="00DA748E" w:rsidRPr="00DA748E" w:rsidRDefault="00DA748E" w:rsidP="00DA748E">
      <w:pPr>
        <w:spacing w:after="0" w:line="240" w:lineRule="auto"/>
        <w:jc w:val="center"/>
        <w:rPr>
          <w:rFonts w:ascii="Times New Roman" w:hAnsi="Times New Roman" w:cs="Times New Roman"/>
          <w:b/>
          <w:bCs/>
          <w:iCs/>
          <w:sz w:val="24"/>
          <w:szCs w:val="24"/>
          <w:lang w:val="en-GB"/>
        </w:rPr>
      </w:pPr>
      <w:r w:rsidRPr="00DA748E">
        <w:rPr>
          <w:rFonts w:ascii="Times New Roman" w:hAnsi="Times New Roman" w:cs="Times New Roman"/>
          <w:b/>
          <w:bCs/>
          <w:lang w:eastAsia="en-GB"/>
        </w:rPr>
        <w:t>FARA/CS/QCBS/2021/01</w:t>
      </w:r>
    </w:p>
    <w:p w14:paraId="08DFD4F4" w14:textId="77777777" w:rsidR="00556928" w:rsidRPr="00774D8A" w:rsidRDefault="00556928" w:rsidP="00556928">
      <w:pPr>
        <w:spacing w:after="0" w:line="240" w:lineRule="auto"/>
        <w:jc w:val="center"/>
        <w:rPr>
          <w:rFonts w:ascii="Times New Roman" w:hAnsi="Times New Roman" w:cs="Times New Roman"/>
          <w:sz w:val="24"/>
          <w:szCs w:val="24"/>
        </w:rPr>
      </w:pPr>
    </w:p>
    <w:p w14:paraId="4739C0F9" w14:textId="77777777" w:rsidR="00D91BC6" w:rsidRPr="00774D8A" w:rsidRDefault="00D91BC6" w:rsidP="00430A69">
      <w:pPr>
        <w:pStyle w:val="ListParagraph"/>
        <w:numPr>
          <w:ilvl w:val="0"/>
          <w:numId w:val="1"/>
        </w:numPr>
        <w:spacing w:after="0" w:line="240" w:lineRule="auto"/>
        <w:ind w:left="425" w:hanging="425"/>
        <w:rPr>
          <w:rFonts w:ascii="Times New Roman" w:hAnsi="Times New Roman" w:cs="Times New Roman"/>
          <w:b/>
          <w:bCs/>
          <w:sz w:val="24"/>
          <w:szCs w:val="24"/>
        </w:rPr>
      </w:pPr>
      <w:r w:rsidRPr="00774D8A">
        <w:rPr>
          <w:rFonts w:ascii="Times New Roman" w:hAnsi="Times New Roman" w:cs="Times New Roman"/>
          <w:b/>
          <w:bCs/>
          <w:sz w:val="24"/>
          <w:szCs w:val="24"/>
        </w:rPr>
        <w:t>Ba</w:t>
      </w:r>
      <w:r w:rsidR="00CC6205" w:rsidRPr="00774D8A">
        <w:rPr>
          <w:rFonts w:ascii="Times New Roman" w:hAnsi="Times New Roman" w:cs="Times New Roman"/>
          <w:b/>
          <w:bCs/>
          <w:sz w:val="24"/>
          <w:szCs w:val="24"/>
        </w:rPr>
        <w:t xml:space="preserve">ckground </w:t>
      </w:r>
    </w:p>
    <w:p w14:paraId="0DACE893" w14:textId="77777777" w:rsidR="00D91BC6" w:rsidRPr="00774D8A" w:rsidRDefault="00D91BC6" w:rsidP="00D91BC6">
      <w:pPr>
        <w:spacing w:after="0" w:line="240" w:lineRule="auto"/>
        <w:rPr>
          <w:rFonts w:ascii="Times New Roman" w:hAnsi="Times New Roman" w:cs="Times New Roman"/>
          <w:sz w:val="24"/>
          <w:szCs w:val="24"/>
        </w:rPr>
      </w:pPr>
    </w:p>
    <w:p w14:paraId="16524D54" w14:textId="77777777" w:rsidR="00556928" w:rsidRPr="00774D8A" w:rsidRDefault="00556928" w:rsidP="00556928">
      <w:pPr>
        <w:spacing w:after="0" w:line="259" w:lineRule="auto"/>
        <w:jc w:val="both"/>
        <w:rPr>
          <w:rFonts w:ascii="Times New Roman" w:hAnsi="Times New Roman" w:cs="Times New Roman"/>
          <w:sz w:val="24"/>
          <w:szCs w:val="24"/>
        </w:rPr>
      </w:pPr>
      <w:r w:rsidRPr="00774D8A">
        <w:rPr>
          <w:rFonts w:ascii="Times New Roman" w:hAnsi="Times New Roman" w:cs="Times New Roman"/>
          <w:sz w:val="24"/>
          <w:szCs w:val="24"/>
        </w:rPr>
        <w:t>The Forum for Agricultural Research in Africa (FARA) is an apex organization forming and bringing together coalitions of major stakeholders in agricultural research for development (AR4D) in Africa.  It is the technical arm of the African Union with the mandate of developing and coordinating Agricultural Research for Development in Africa.</w:t>
      </w:r>
    </w:p>
    <w:p w14:paraId="6E6D4C0E" w14:textId="77777777" w:rsidR="00556928" w:rsidRPr="00774D8A" w:rsidRDefault="00556928" w:rsidP="00556928">
      <w:pPr>
        <w:pStyle w:val="ListParagraph"/>
        <w:spacing w:after="0" w:line="240" w:lineRule="auto"/>
        <w:jc w:val="both"/>
        <w:rPr>
          <w:rFonts w:ascii="Times New Roman" w:hAnsi="Times New Roman" w:cs="Times New Roman"/>
          <w:sz w:val="24"/>
          <w:szCs w:val="24"/>
        </w:rPr>
      </w:pPr>
    </w:p>
    <w:p w14:paraId="44DDB926" w14:textId="0F9DB532" w:rsidR="00556928" w:rsidRPr="00774D8A" w:rsidRDefault="00556928" w:rsidP="00556928">
      <w:pPr>
        <w:spacing w:after="160" w:line="259" w:lineRule="auto"/>
        <w:jc w:val="both"/>
        <w:rPr>
          <w:rFonts w:ascii="Times New Roman" w:eastAsia="Calibri" w:hAnsi="Times New Roman" w:cs="Times New Roman"/>
          <w:sz w:val="24"/>
          <w:szCs w:val="24"/>
        </w:rPr>
      </w:pPr>
      <w:r w:rsidRPr="00774D8A">
        <w:rPr>
          <w:rFonts w:ascii="Times New Roman" w:hAnsi="Times New Roman" w:cs="Times New Roman"/>
          <w:sz w:val="24"/>
          <w:szCs w:val="24"/>
          <w:shd w:val="clear" w:color="auto" w:fill="FFFFFF"/>
        </w:rPr>
        <w:t xml:space="preserve">FARA serves as the entry point for agricultural research initiatives in Africa designed to have a continental reach or a sub-continental reach spanning more than one sub-region. Headquartered in Accra, Ghana, FARA has been in existence since the late 1990s. Over this period, FARA has provided a continental forum for stakeholders in AR4D to shape the vision and agenda for this sub-sector, and to mobilize themselves to respond to key continent-wide development frameworks, notably the Comprehensive Africa Agriculture Development </w:t>
      </w:r>
      <w:proofErr w:type="spellStart"/>
      <w:r w:rsidRPr="00774D8A">
        <w:rPr>
          <w:rFonts w:ascii="Times New Roman" w:hAnsi="Times New Roman" w:cs="Times New Roman"/>
          <w:sz w:val="24"/>
          <w:szCs w:val="24"/>
          <w:shd w:val="clear" w:color="auto" w:fill="FFFFFF"/>
        </w:rPr>
        <w:t>Programme</w:t>
      </w:r>
      <w:proofErr w:type="spellEnd"/>
      <w:r w:rsidRPr="00774D8A">
        <w:rPr>
          <w:rFonts w:ascii="Times New Roman" w:hAnsi="Times New Roman" w:cs="Times New Roman"/>
          <w:sz w:val="24"/>
          <w:szCs w:val="24"/>
          <w:shd w:val="clear" w:color="auto" w:fill="FFFFFF"/>
        </w:rPr>
        <w:t xml:space="preserve"> (CAADP).</w:t>
      </w:r>
    </w:p>
    <w:p w14:paraId="3AB2661E" w14:textId="279EED63" w:rsidR="001F6017" w:rsidRPr="00774D8A" w:rsidRDefault="00556928" w:rsidP="00556928">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In order to ensure that the </w:t>
      </w:r>
      <w:proofErr w:type="spellStart"/>
      <w:r w:rsidRPr="00774D8A">
        <w:rPr>
          <w:rFonts w:ascii="Times New Roman" w:hAnsi="Times New Roman" w:cs="Times New Roman"/>
          <w:sz w:val="24"/>
          <w:szCs w:val="24"/>
        </w:rPr>
        <w:t>organisation’s</w:t>
      </w:r>
      <w:proofErr w:type="spellEnd"/>
      <w:r w:rsidRPr="00774D8A">
        <w:rPr>
          <w:rFonts w:ascii="Times New Roman" w:hAnsi="Times New Roman" w:cs="Times New Roman"/>
          <w:sz w:val="24"/>
          <w:szCs w:val="24"/>
        </w:rPr>
        <w:t xml:space="preserve"> funds are used properly for the purpose for which they are intended and accounted for in accordance with our donors’ procedures, it is prudent to engage an Internal Audit firm to provide a continuous and critical appraisal of the functioning of the </w:t>
      </w:r>
      <w:proofErr w:type="spellStart"/>
      <w:r w:rsidRPr="00774D8A">
        <w:rPr>
          <w:rFonts w:ascii="Times New Roman" w:hAnsi="Times New Roman" w:cs="Times New Roman"/>
          <w:sz w:val="24"/>
          <w:szCs w:val="24"/>
        </w:rPr>
        <w:t>organisation</w:t>
      </w:r>
      <w:proofErr w:type="spellEnd"/>
      <w:r w:rsidRPr="00774D8A">
        <w:rPr>
          <w:rFonts w:ascii="Times New Roman" w:hAnsi="Times New Roman" w:cs="Times New Roman"/>
          <w:sz w:val="24"/>
          <w:szCs w:val="24"/>
        </w:rPr>
        <w:t xml:space="preserve"> with a view to suggest improvements thereto and add value to and strengthen the overall mechanism of FARA and its internal control systems.</w:t>
      </w:r>
    </w:p>
    <w:p w14:paraId="5C4DFBDB" w14:textId="77777777" w:rsidR="001F6017" w:rsidRPr="00774D8A" w:rsidRDefault="001F6017" w:rsidP="000D7DE7">
      <w:pPr>
        <w:spacing w:after="0" w:line="240" w:lineRule="auto"/>
        <w:rPr>
          <w:rFonts w:ascii="Times New Roman" w:hAnsi="Times New Roman" w:cs="Times New Roman"/>
          <w:sz w:val="24"/>
          <w:szCs w:val="24"/>
        </w:rPr>
      </w:pPr>
    </w:p>
    <w:p w14:paraId="1641A2D4" w14:textId="77777777" w:rsidR="000D7DE7" w:rsidRPr="00774D8A" w:rsidRDefault="000D7DE7" w:rsidP="00995136">
      <w:pPr>
        <w:pStyle w:val="ListParagraph"/>
        <w:numPr>
          <w:ilvl w:val="0"/>
          <w:numId w:val="1"/>
        </w:numPr>
        <w:spacing w:after="0" w:line="240" w:lineRule="auto"/>
        <w:ind w:left="425" w:hanging="425"/>
        <w:jc w:val="both"/>
        <w:rPr>
          <w:rFonts w:ascii="Times New Roman" w:hAnsi="Times New Roman" w:cs="Times New Roman"/>
          <w:b/>
          <w:bCs/>
          <w:sz w:val="24"/>
          <w:szCs w:val="24"/>
        </w:rPr>
      </w:pPr>
      <w:r w:rsidRPr="00774D8A">
        <w:rPr>
          <w:rFonts w:ascii="Times New Roman" w:hAnsi="Times New Roman" w:cs="Times New Roman"/>
          <w:b/>
          <w:bCs/>
          <w:sz w:val="24"/>
          <w:szCs w:val="24"/>
        </w:rPr>
        <w:t>Objectives</w:t>
      </w:r>
      <w:r w:rsidR="005F6BCB" w:rsidRPr="00774D8A">
        <w:rPr>
          <w:rFonts w:ascii="Times New Roman" w:hAnsi="Times New Roman" w:cs="Times New Roman"/>
          <w:b/>
          <w:bCs/>
          <w:sz w:val="24"/>
          <w:szCs w:val="24"/>
        </w:rPr>
        <w:t xml:space="preserve"> and </w:t>
      </w:r>
      <w:r w:rsidR="004A585A" w:rsidRPr="00774D8A">
        <w:rPr>
          <w:rFonts w:ascii="Times New Roman" w:hAnsi="Times New Roman" w:cs="Times New Roman"/>
          <w:b/>
          <w:bCs/>
          <w:sz w:val="24"/>
          <w:szCs w:val="24"/>
        </w:rPr>
        <w:t>Standards</w:t>
      </w:r>
    </w:p>
    <w:p w14:paraId="6F105988" w14:textId="77777777" w:rsidR="004C0F33" w:rsidRPr="00774D8A" w:rsidRDefault="004C0F33" w:rsidP="00995136">
      <w:pPr>
        <w:spacing w:after="0" w:line="240" w:lineRule="auto"/>
        <w:jc w:val="both"/>
        <w:rPr>
          <w:rFonts w:ascii="Times New Roman" w:hAnsi="Times New Roman" w:cs="Times New Roman"/>
          <w:sz w:val="24"/>
          <w:szCs w:val="24"/>
        </w:rPr>
      </w:pPr>
    </w:p>
    <w:p w14:paraId="413888BD" w14:textId="63C4AF18" w:rsidR="00556928" w:rsidRPr="00774D8A" w:rsidRDefault="00556928" w:rsidP="00556928">
      <w:pPr>
        <w:spacing w:after="0" w:line="240" w:lineRule="auto"/>
        <w:jc w:val="both"/>
        <w:rPr>
          <w:rFonts w:ascii="Times New Roman" w:hAnsi="Times New Roman" w:cs="Times New Roman"/>
          <w:sz w:val="24"/>
          <w:szCs w:val="24"/>
        </w:rPr>
      </w:pPr>
      <w:r w:rsidRPr="00774D8A">
        <w:rPr>
          <w:rFonts w:ascii="Times New Roman" w:eastAsia="Calibri" w:hAnsi="Times New Roman" w:cs="Times New Roman"/>
          <w:sz w:val="24"/>
          <w:szCs w:val="24"/>
        </w:rPr>
        <w:t>The overall</w:t>
      </w:r>
      <w:r w:rsidRPr="00774D8A">
        <w:rPr>
          <w:rFonts w:ascii="Times New Roman" w:hAnsi="Times New Roman" w:cs="Times New Roman"/>
          <w:sz w:val="24"/>
          <w:szCs w:val="24"/>
        </w:rPr>
        <w:t xml:space="preserve"> objective of this assignment is to; a) express an independent professional opinion with regard to efficiency, effectiveness and economy of FARA’s operations; b) evaluate the adequacy and effectiveness of the financial management and internal control systems; c) ensure compliance of the laid </w:t>
      </w:r>
      <w:proofErr w:type="gramStart"/>
      <w:r w:rsidRPr="00774D8A">
        <w:rPr>
          <w:rFonts w:ascii="Times New Roman" w:hAnsi="Times New Roman" w:cs="Times New Roman"/>
          <w:sz w:val="24"/>
          <w:szCs w:val="24"/>
        </w:rPr>
        <w:t>down  Implementation</w:t>
      </w:r>
      <w:proofErr w:type="gramEnd"/>
      <w:r w:rsidRPr="00774D8A">
        <w:rPr>
          <w:rFonts w:ascii="Times New Roman" w:hAnsi="Times New Roman" w:cs="Times New Roman"/>
          <w:sz w:val="24"/>
          <w:szCs w:val="24"/>
        </w:rPr>
        <w:t xml:space="preserve"> guidelines and procedures</w:t>
      </w:r>
      <w:r w:rsidR="00CA5D2F">
        <w:rPr>
          <w:rFonts w:ascii="Times New Roman" w:hAnsi="Times New Roman" w:cs="Times New Roman"/>
          <w:sz w:val="24"/>
          <w:szCs w:val="24"/>
        </w:rPr>
        <w:t xml:space="preserve"> of FARA</w:t>
      </w:r>
      <w:r w:rsidRPr="00774D8A">
        <w:rPr>
          <w:rFonts w:ascii="Times New Roman" w:hAnsi="Times New Roman" w:cs="Times New Roman"/>
          <w:sz w:val="24"/>
          <w:szCs w:val="24"/>
        </w:rPr>
        <w:t>; d) provide timely information and recommendation to the Management on improvement of systems.</w:t>
      </w:r>
    </w:p>
    <w:p w14:paraId="6ED356A9" w14:textId="77777777" w:rsidR="005F6BCB" w:rsidRPr="00774D8A" w:rsidRDefault="005F6BCB" w:rsidP="00430A69">
      <w:pPr>
        <w:spacing w:after="0" w:line="240" w:lineRule="auto"/>
        <w:rPr>
          <w:rFonts w:ascii="Times New Roman" w:hAnsi="Times New Roman" w:cs="Times New Roman"/>
          <w:sz w:val="24"/>
          <w:szCs w:val="24"/>
        </w:rPr>
      </w:pPr>
    </w:p>
    <w:p w14:paraId="3CB080F7" w14:textId="56DF6097" w:rsidR="004C0F33" w:rsidRPr="00774D8A" w:rsidRDefault="00AD5197" w:rsidP="006677FB">
      <w:pPr>
        <w:pStyle w:val="ListParagraph"/>
        <w:numPr>
          <w:ilvl w:val="0"/>
          <w:numId w:val="1"/>
        </w:numPr>
        <w:spacing w:after="0" w:line="240" w:lineRule="auto"/>
        <w:ind w:left="425" w:hanging="425"/>
        <w:rPr>
          <w:rFonts w:ascii="Times New Roman" w:hAnsi="Times New Roman" w:cs="Times New Roman"/>
          <w:b/>
          <w:bCs/>
          <w:sz w:val="24"/>
          <w:szCs w:val="24"/>
        </w:rPr>
      </w:pPr>
      <w:r w:rsidRPr="00774D8A">
        <w:rPr>
          <w:rFonts w:ascii="Times New Roman" w:hAnsi="Times New Roman" w:cs="Times New Roman"/>
          <w:b/>
          <w:bCs/>
          <w:sz w:val="24"/>
          <w:szCs w:val="24"/>
        </w:rPr>
        <w:t xml:space="preserve">Scope of the </w:t>
      </w:r>
      <w:r w:rsidR="00DA748E" w:rsidRPr="00774D8A">
        <w:rPr>
          <w:rFonts w:ascii="Times New Roman" w:hAnsi="Times New Roman" w:cs="Times New Roman"/>
          <w:b/>
          <w:bCs/>
          <w:sz w:val="24"/>
          <w:szCs w:val="24"/>
        </w:rPr>
        <w:t>A</w:t>
      </w:r>
      <w:r w:rsidRPr="00774D8A">
        <w:rPr>
          <w:rFonts w:ascii="Times New Roman" w:hAnsi="Times New Roman" w:cs="Times New Roman"/>
          <w:b/>
          <w:bCs/>
          <w:sz w:val="24"/>
          <w:szCs w:val="24"/>
        </w:rPr>
        <w:t xml:space="preserve">udit </w:t>
      </w:r>
      <w:r w:rsidR="00DA748E" w:rsidRPr="00774D8A">
        <w:rPr>
          <w:rFonts w:ascii="Times New Roman" w:hAnsi="Times New Roman" w:cs="Times New Roman"/>
          <w:b/>
          <w:bCs/>
          <w:sz w:val="24"/>
          <w:szCs w:val="24"/>
        </w:rPr>
        <w:t>Assignment</w:t>
      </w:r>
    </w:p>
    <w:p w14:paraId="5A50490A" w14:textId="77777777" w:rsidR="006677FB" w:rsidRPr="00774D8A" w:rsidRDefault="006677FB" w:rsidP="006677FB">
      <w:pPr>
        <w:spacing w:after="0" w:line="240" w:lineRule="auto"/>
        <w:rPr>
          <w:rFonts w:ascii="Times New Roman" w:hAnsi="Times New Roman" w:cs="Times New Roman"/>
          <w:b/>
          <w:bCs/>
          <w:sz w:val="24"/>
          <w:szCs w:val="24"/>
        </w:rPr>
      </w:pPr>
    </w:p>
    <w:p w14:paraId="550EDF25" w14:textId="16288E5B" w:rsidR="004C0F33" w:rsidRPr="00774D8A" w:rsidRDefault="004110D5" w:rsidP="00995136">
      <w:pPr>
        <w:pStyle w:val="ListParagraph"/>
        <w:numPr>
          <w:ilvl w:val="1"/>
          <w:numId w:val="1"/>
        </w:numPr>
        <w:spacing w:after="0" w:line="240" w:lineRule="auto"/>
        <w:ind w:left="425" w:hanging="425"/>
        <w:jc w:val="both"/>
        <w:rPr>
          <w:rFonts w:ascii="Times New Roman" w:hAnsi="Times New Roman" w:cs="Times New Roman"/>
          <w:b/>
          <w:bCs/>
          <w:sz w:val="24"/>
          <w:szCs w:val="24"/>
        </w:rPr>
      </w:pPr>
      <w:r w:rsidRPr="00774D8A">
        <w:rPr>
          <w:rFonts w:ascii="Times New Roman" w:hAnsi="Times New Roman" w:cs="Times New Roman"/>
          <w:b/>
          <w:bCs/>
          <w:sz w:val="24"/>
          <w:szCs w:val="24"/>
        </w:rPr>
        <w:t xml:space="preserve">Specific areas of responsibility </w:t>
      </w:r>
      <w:r w:rsidR="00B81324" w:rsidRPr="00774D8A">
        <w:rPr>
          <w:rFonts w:ascii="Times New Roman" w:hAnsi="Times New Roman" w:cs="Times New Roman"/>
          <w:b/>
          <w:bCs/>
          <w:sz w:val="24"/>
          <w:szCs w:val="24"/>
        </w:rPr>
        <w:t>include:</w:t>
      </w:r>
      <w:r w:rsidR="00AD5197" w:rsidRPr="00774D8A">
        <w:rPr>
          <w:rFonts w:ascii="Times New Roman" w:hAnsi="Times New Roman" w:cs="Times New Roman"/>
          <w:b/>
          <w:bCs/>
          <w:sz w:val="24"/>
          <w:szCs w:val="24"/>
        </w:rPr>
        <w:t xml:space="preserve"> </w:t>
      </w:r>
    </w:p>
    <w:p w14:paraId="465AC0F7" w14:textId="39B0CA17" w:rsidR="004110D5" w:rsidRPr="00774D8A" w:rsidRDefault="004110D5" w:rsidP="004110D5">
      <w:pPr>
        <w:spacing w:after="0" w:line="240" w:lineRule="auto"/>
        <w:jc w:val="both"/>
        <w:rPr>
          <w:rFonts w:ascii="Times New Roman" w:hAnsi="Times New Roman" w:cs="Times New Roman"/>
          <w:b/>
          <w:bCs/>
          <w:sz w:val="24"/>
          <w:szCs w:val="24"/>
        </w:rPr>
      </w:pPr>
    </w:p>
    <w:p w14:paraId="4EEF7EE8" w14:textId="0B7E2422" w:rsidR="004110D5" w:rsidRPr="00774D8A" w:rsidRDefault="004110D5" w:rsidP="002B2C53">
      <w:pPr>
        <w:pStyle w:val="ListParagraph"/>
        <w:numPr>
          <w:ilvl w:val="0"/>
          <w:numId w:val="19"/>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In accordance with the audit plan, undertake a </w:t>
      </w:r>
      <w:proofErr w:type="spellStart"/>
      <w:r w:rsidRPr="00774D8A">
        <w:rPr>
          <w:rFonts w:ascii="Times New Roman" w:hAnsi="Times New Roman" w:cs="Times New Roman"/>
          <w:sz w:val="24"/>
          <w:szCs w:val="24"/>
        </w:rPr>
        <w:t>programme</w:t>
      </w:r>
      <w:proofErr w:type="spellEnd"/>
      <w:r w:rsidRPr="00774D8A">
        <w:rPr>
          <w:rFonts w:ascii="Times New Roman" w:hAnsi="Times New Roman" w:cs="Times New Roman"/>
          <w:sz w:val="24"/>
          <w:szCs w:val="24"/>
        </w:rPr>
        <w:t xml:space="preserve"> of reviews of key functional areas, processes and systems to ensure that material risks are identified and managed. These will include, but will not be limited to, reviews </w:t>
      </w:r>
      <w:proofErr w:type="gramStart"/>
      <w:r w:rsidRPr="00774D8A">
        <w:rPr>
          <w:rFonts w:ascii="Times New Roman" w:hAnsi="Times New Roman" w:cs="Times New Roman"/>
          <w:sz w:val="24"/>
          <w:szCs w:val="24"/>
        </w:rPr>
        <w:t>of:</w:t>
      </w:r>
      <w:proofErr w:type="gramEnd"/>
      <w:r w:rsidRPr="00774D8A">
        <w:rPr>
          <w:rFonts w:ascii="Times New Roman" w:hAnsi="Times New Roman" w:cs="Times New Roman"/>
          <w:sz w:val="24"/>
          <w:szCs w:val="24"/>
        </w:rPr>
        <w:t xml:space="preserve"> design and operating </w:t>
      </w:r>
      <w:r w:rsidRPr="00774D8A">
        <w:rPr>
          <w:rFonts w:ascii="Times New Roman" w:hAnsi="Times New Roman" w:cs="Times New Roman"/>
          <w:sz w:val="24"/>
          <w:szCs w:val="24"/>
        </w:rPr>
        <w:lastRenderedPageBreak/>
        <w:t xml:space="preserve">effectiveness of the internal governance structures and processes of FARA; the setting of, and adherence to, risk appetite; the risk and control culture of </w:t>
      </w:r>
      <w:r w:rsidR="00CA5D2F">
        <w:rPr>
          <w:rFonts w:ascii="Times New Roman" w:hAnsi="Times New Roman" w:cs="Times New Roman"/>
          <w:sz w:val="24"/>
          <w:szCs w:val="24"/>
        </w:rPr>
        <w:t>FARA</w:t>
      </w:r>
      <w:r w:rsidRPr="00774D8A">
        <w:rPr>
          <w:rFonts w:ascii="Times New Roman" w:hAnsi="Times New Roman" w:cs="Times New Roman"/>
          <w:sz w:val="24"/>
          <w:szCs w:val="24"/>
        </w:rPr>
        <w:t>;</w:t>
      </w:r>
      <w:r w:rsidR="00B81324" w:rsidRPr="00774D8A">
        <w:rPr>
          <w:rFonts w:ascii="Times New Roman" w:hAnsi="Times New Roman" w:cs="Times New Roman"/>
          <w:sz w:val="24"/>
          <w:szCs w:val="24"/>
        </w:rPr>
        <w:t xml:space="preserve"> </w:t>
      </w:r>
      <w:r w:rsidRPr="00774D8A">
        <w:rPr>
          <w:rFonts w:ascii="Times New Roman" w:hAnsi="Times New Roman" w:cs="Times New Roman"/>
          <w:sz w:val="24"/>
          <w:szCs w:val="24"/>
        </w:rPr>
        <w:t xml:space="preserve">liquidity risks; key corporate events; and outcome of processes; </w:t>
      </w:r>
    </w:p>
    <w:p w14:paraId="4E45ACB2" w14:textId="600BF9AC" w:rsidR="004110D5" w:rsidRPr="00774D8A" w:rsidRDefault="004110D5"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In addition to the completion of reviews as outlined in the Internal Audit Annual Plan, I</w:t>
      </w:r>
      <w:r w:rsidR="00CA5D2F">
        <w:rPr>
          <w:rFonts w:ascii="Times New Roman" w:hAnsi="Times New Roman" w:cs="Times New Roman"/>
          <w:sz w:val="24"/>
          <w:szCs w:val="24"/>
        </w:rPr>
        <w:t xml:space="preserve">nternal </w:t>
      </w:r>
      <w:r w:rsidRPr="00774D8A">
        <w:rPr>
          <w:rFonts w:ascii="Times New Roman" w:hAnsi="Times New Roman" w:cs="Times New Roman"/>
          <w:sz w:val="24"/>
          <w:szCs w:val="24"/>
        </w:rPr>
        <w:t>A</w:t>
      </w:r>
      <w:r w:rsidR="00CA5D2F">
        <w:rPr>
          <w:rFonts w:ascii="Times New Roman" w:hAnsi="Times New Roman" w:cs="Times New Roman"/>
          <w:sz w:val="24"/>
          <w:szCs w:val="24"/>
        </w:rPr>
        <w:t>udit</w:t>
      </w:r>
      <w:r w:rsidRPr="00774D8A">
        <w:rPr>
          <w:rFonts w:ascii="Times New Roman" w:hAnsi="Times New Roman" w:cs="Times New Roman"/>
          <w:sz w:val="24"/>
          <w:szCs w:val="24"/>
        </w:rPr>
        <w:t xml:space="preserve"> activities will also include consulting, assurance and project work, in accordance with </w:t>
      </w:r>
      <w:r w:rsidR="002B2C53" w:rsidRPr="00774D8A">
        <w:rPr>
          <w:rFonts w:ascii="Times New Roman" w:hAnsi="Times New Roman" w:cs="Times New Roman"/>
          <w:sz w:val="24"/>
          <w:szCs w:val="24"/>
        </w:rPr>
        <w:t xml:space="preserve">FARA Board of Directors, the </w:t>
      </w:r>
      <w:r w:rsidRPr="00774D8A">
        <w:rPr>
          <w:rFonts w:ascii="Times New Roman" w:hAnsi="Times New Roman" w:cs="Times New Roman"/>
          <w:sz w:val="24"/>
          <w:szCs w:val="24"/>
        </w:rPr>
        <w:t xml:space="preserve">Executive Director, Audit Committee or regulatory </w:t>
      </w:r>
      <w:proofErr w:type="gramStart"/>
      <w:r w:rsidRPr="00774D8A">
        <w:rPr>
          <w:rFonts w:ascii="Times New Roman" w:hAnsi="Times New Roman" w:cs="Times New Roman"/>
          <w:sz w:val="24"/>
          <w:szCs w:val="24"/>
        </w:rPr>
        <w:t>requests;</w:t>
      </w:r>
      <w:proofErr w:type="gramEnd"/>
    </w:p>
    <w:p w14:paraId="3ED43982" w14:textId="013CDBDC" w:rsidR="002B2C53" w:rsidRPr="00774D8A" w:rsidRDefault="002B2C53"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 xml:space="preserve">Provide an independent assessment of the progress made by management in implementing actions agreed to manage risk issues and control weaknesses reported in external and internal audit reports. Report outstanding overdue actions to the Board on a </w:t>
      </w:r>
      <w:proofErr w:type="gramStart"/>
      <w:r w:rsidR="00CA5D2F">
        <w:rPr>
          <w:rFonts w:ascii="Times New Roman" w:hAnsi="Times New Roman" w:cs="Times New Roman"/>
          <w:sz w:val="24"/>
          <w:szCs w:val="24"/>
        </w:rPr>
        <w:t xml:space="preserve">biannual </w:t>
      </w:r>
      <w:r w:rsidRPr="00774D8A">
        <w:rPr>
          <w:rFonts w:ascii="Times New Roman" w:hAnsi="Times New Roman" w:cs="Times New Roman"/>
          <w:sz w:val="24"/>
          <w:szCs w:val="24"/>
        </w:rPr>
        <w:t xml:space="preserve"> basis</w:t>
      </w:r>
      <w:proofErr w:type="gramEnd"/>
      <w:r w:rsidRPr="00774D8A">
        <w:rPr>
          <w:rFonts w:ascii="Times New Roman" w:hAnsi="Times New Roman" w:cs="Times New Roman"/>
          <w:sz w:val="24"/>
          <w:szCs w:val="24"/>
        </w:rPr>
        <w:t>. Issue details of all outstanding actions to management on a monthly basis;</w:t>
      </w:r>
    </w:p>
    <w:p w14:paraId="490B9B46" w14:textId="3CAACDC9" w:rsidR="002B2C53" w:rsidRPr="00774D8A" w:rsidRDefault="002B2C53"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Maintain close co-operation between Internal Audit (IA) and the FARA’s Compliance and Risk Functions, including the exchange of relevant information. Regular meetings will be held to discuss risks, identify potential areas of reliance and to develop effective working relationships;</w:t>
      </w:r>
    </w:p>
    <w:p w14:paraId="505A24B1" w14:textId="33F47172" w:rsidR="002B2C53" w:rsidRPr="00774D8A" w:rsidRDefault="002B2C53"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Maintain an appropriate level of professional audit team with sufficient knowledge, skills, qualifications and experience to meet the requirements of this Terms of Reference;</w:t>
      </w:r>
    </w:p>
    <w:p w14:paraId="43B1034C" w14:textId="16CB408B" w:rsidR="002B2C53" w:rsidRPr="00774D8A" w:rsidRDefault="00CA5D2F" w:rsidP="002B2C53">
      <w:pPr>
        <w:pStyle w:val="ListParagraph"/>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Using a </w:t>
      </w:r>
      <w:proofErr w:type="gramStart"/>
      <w:r>
        <w:rPr>
          <w:rFonts w:ascii="Times New Roman" w:hAnsi="Times New Roman" w:cs="Times New Roman"/>
          <w:sz w:val="24"/>
          <w:szCs w:val="24"/>
        </w:rPr>
        <w:t>well thought-out</w:t>
      </w:r>
      <w:proofErr w:type="gramEnd"/>
      <w:r>
        <w:rPr>
          <w:rFonts w:ascii="Times New Roman" w:hAnsi="Times New Roman" w:cs="Times New Roman"/>
          <w:sz w:val="24"/>
          <w:szCs w:val="24"/>
        </w:rPr>
        <w:t xml:space="preserve"> Risk Matrix, e</w:t>
      </w:r>
      <w:r w:rsidR="002B2C53" w:rsidRPr="00774D8A">
        <w:rPr>
          <w:rFonts w:ascii="Times New Roman" w:hAnsi="Times New Roman" w:cs="Times New Roman"/>
          <w:sz w:val="24"/>
          <w:szCs w:val="24"/>
        </w:rPr>
        <w:t>valuate and assess emerging risks and their potential impact on the FARA’s operations. IA may instigate additional work to address new and emerging risks during the year. The impact of carrying out these reviews on the annual plan will be assessed and reported to the next Board meeting;</w:t>
      </w:r>
    </w:p>
    <w:p w14:paraId="46FDB822" w14:textId="4C9C58BF" w:rsidR="002B2C53" w:rsidRPr="00774D8A" w:rsidRDefault="002B2C53"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 xml:space="preserve">Report to the Executive </w:t>
      </w:r>
      <w:r w:rsidR="00AD08F0" w:rsidRPr="00774D8A">
        <w:rPr>
          <w:rFonts w:ascii="Times New Roman" w:hAnsi="Times New Roman" w:cs="Times New Roman"/>
          <w:sz w:val="24"/>
          <w:szCs w:val="24"/>
        </w:rPr>
        <w:t>Director of FARA</w:t>
      </w:r>
      <w:r w:rsidRPr="00774D8A">
        <w:rPr>
          <w:rFonts w:ascii="Times New Roman" w:hAnsi="Times New Roman" w:cs="Times New Roman"/>
          <w:sz w:val="24"/>
          <w:szCs w:val="24"/>
        </w:rPr>
        <w:t xml:space="preserve"> </w:t>
      </w:r>
      <w:proofErr w:type="spellStart"/>
      <w:r w:rsidRPr="00774D8A">
        <w:rPr>
          <w:rFonts w:ascii="Times New Roman" w:hAnsi="Times New Roman" w:cs="Times New Roman"/>
          <w:sz w:val="24"/>
          <w:szCs w:val="24"/>
        </w:rPr>
        <w:t>summarising</w:t>
      </w:r>
      <w:proofErr w:type="spellEnd"/>
      <w:r w:rsidRPr="00774D8A">
        <w:rPr>
          <w:rFonts w:ascii="Times New Roman" w:hAnsi="Times New Roman" w:cs="Times New Roman"/>
          <w:sz w:val="24"/>
          <w:szCs w:val="24"/>
        </w:rPr>
        <w:t xml:space="preserve"> the results of audit activities;</w:t>
      </w:r>
      <w:r w:rsidR="00AD08F0" w:rsidRPr="00774D8A">
        <w:rPr>
          <w:rFonts w:ascii="Times New Roman" w:hAnsi="Times New Roman" w:cs="Times New Roman"/>
          <w:sz w:val="24"/>
          <w:szCs w:val="24"/>
        </w:rPr>
        <w:t xml:space="preserve"> </w:t>
      </w:r>
    </w:p>
    <w:p w14:paraId="3331FBA1" w14:textId="1E7B880F" w:rsidR="00AD08F0" w:rsidRPr="00774D8A" w:rsidRDefault="00AD08F0"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Provide assurance over the governance, risk management, project and financial controls together with quality assurance processes operated within key business initiatives</w:t>
      </w:r>
      <w:r w:rsidR="00B030CF" w:rsidRPr="00774D8A">
        <w:rPr>
          <w:rFonts w:ascii="Times New Roman" w:hAnsi="Times New Roman" w:cs="Times New Roman"/>
          <w:sz w:val="24"/>
          <w:szCs w:val="24"/>
        </w:rPr>
        <w:t>;</w:t>
      </w:r>
    </w:p>
    <w:p w14:paraId="041F57A2" w14:textId="418928D0" w:rsidR="00B030CF" w:rsidRPr="00774D8A" w:rsidRDefault="00B030CF"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shd w:val="clear" w:color="auto" w:fill="FFFFFF"/>
        </w:rPr>
        <w:t>Participate in meetings with individuals and departments to update auditees on findings and the audit process;</w:t>
      </w:r>
    </w:p>
    <w:p w14:paraId="45EF8084" w14:textId="7BEDEF37" w:rsidR="00B030CF" w:rsidRPr="00774D8A" w:rsidRDefault="00B030CF" w:rsidP="002B2C53">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shd w:val="clear" w:color="auto" w:fill="FFFFFF"/>
        </w:rPr>
        <w:t>Make recommendations on the best ways for a company to reduce waste; and</w:t>
      </w:r>
    </w:p>
    <w:p w14:paraId="1B067A6F" w14:textId="04C6F905" w:rsidR="004110D5" w:rsidRPr="00774D8A" w:rsidRDefault="00B030CF" w:rsidP="005F6BCB">
      <w:pPr>
        <w:pStyle w:val="ListParagraph"/>
        <w:numPr>
          <w:ilvl w:val="0"/>
          <w:numId w:val="19"/>
        </w:num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shd w:val="clear" w:color="auto" w:fill="FFFFFF"/>
        </w:rPr>
        <w:t>Any other business assigned by the Board of Directors</w:t>
      </w:r>
    </w:p>
    <w:p w14:paraId="58A1523A" w14:textId="77777777" w:rsidR="004110D5" w:rsidRPr="00774D8A" w:rsidRDefault="004110D5" w:rsidP="005F6BCB">
      <w:pPr>
        <w:spacing w:after="0" w:line="240" w:lineRule="auto"/>
        <w:rPr>
          <w:rFonts w:ascii="Times New Roman" w:hAnsi="Times New Roman" w:cs="Times New Roman"/>
          <w:sz w:val="24"/>
          <w:szCs w:val="24"/>
        </w:rPr>
      </w:pPr>
    </w:p>
    <w:p w14:paraId="1D9E5792" w14:textId="482B9400" w:rsidR="006677FB" w:rsidRPr="00774D8A" w:rsidRDefault="006677FB" w:rsidP="00965474">
      <w:pPr>
        <w:pStyle w:val="ListParagraph"/>
        <w:numPr>
          <w:ilvl w:val="1"/>
          <w:numId w:val="1"/>
        </w:numPr>
        <w:spacing w:after="0" w:line="240" w:lineRule="auto"/>
        <w:ind w:left="425" w:hanging="425"/>
        <w:rPr>
          <w:rFonts w:ascii="Times New Roman" w:hAnsi="Times New Roman" w:cs="Times New Roman"/>
          <w:b/>
          <w:bCs/>
          <w:sz w:val="24"/>
          <w:szCs w:val="24"/>
        </w:rPr>
      </w:pPr>
      <w:r w:rsidRPr="00774D8A">
        <w:rPr>
          <w:rFonts w:ascii="Times New Roman" w:hAnsi="Times New Roman" w:cs="Times New Roman"/>
          <w:b/>
          <w:bCs/>
          <w:sz w:val="24"/>
          <w:szCs w:val="24"/>
        </w:rPr>
        <w:t xml:space="preserve">Qualifications, Experience, and Team Composition </w:t>
      </w:r>
    </w:p>
    <w:p w14:paraId="4AD99034" w14:textId="77777777" w:rsidR="00995136" w:rsidRPr="00774D8A" w:rsidRDefault="00995136" w:rsidP="00995136">
      <w:pPr>
        <w:pStyle w:val="ListParagraph"/>
        <w:spacing w:after="0" w:line="240" w:lineRule="auto"/>
        <w:ind w:left="425"/>
        <w:rPr>
          <w:rFonts w:ascii="Times New Roman" w:hAnsi="Times New Roman" w:cs="Times New Roman"/>
          <w:b/>
          <w:bCs/>
          <w:sz w:val="24"/>
          <w:szCs w:val="24"/>
        </w:rPr>
      </w:pPr>
    </w:p>
    <w:p w14:paraId="5E923F06" w14:textId="7310E7EB" w:rsidR="005F6BCB" w:rsidRPr="00774D8A" w:rsidRDefault="005F6BCB" w:rsidP="00995136">
      <w:pPr>
        <w:pStyle w:val="ListParagraph"/>
        <w:numPr>
          <w:ilvl w:val="2"/>
          <w:numId w:val="1"/>
        </w:numPr>
        <w:spacing w:after="0" w:line="240" w:lineRule="auto"/>
        <w:jc w:val="both"/>
        <w:rPr>
          <w:rFonts w:ascii="Times New Roman" w:hAnsi="Times New Roman" w:cs="Times New Roman"/>
          <w:b/>
          <w:bCs/>
          <w:sz w:val="24"/>
          <w:szCs w:val="24"/>
        </w:rPr>
      </w:pPr>
      <w:r w:rsidRPr="00774D8A">
        <w:rPr>
          <w:rFonts w:ascii="Times New Roman" w:hAnsi="Times New Roman" w:cs="Times New Roman"/>
          <w:b/>
          <w:bCs/>
          <w:sz w:val="24"/>
          <w:szCs w:val="24"/>
        </w:rPr>
        <w:t xml:space="preserve">Qualification and Experience </w:t>
      </w:r>
    </w:p>
    <w:p w14:paraId="6A9E159C" w14:textId="77777777" w:rsidR="000E3848" w:rsidRPr="00774D8A" w:rsidRDefault="000E3848" w:rsidP="000E3848">
      <w:pPr>
        <w:pStyle w:val="ListParagraph"/>
        <w:spacing w:after="0" w:line="240" w:lineRule="auto"/>
        <w:jc w:val="both"/>
        <w:rPr>
          <w:rFonts w:ascii="Times New Roman" w:hAnsi="Times New Roman" w:cs="Times New Roman"/>
          <w:b/>
          <w:bCs/>
          <w:sz w:val="24"/>
          <w:szCs w:val="24"/>
        </w:rPr>
      </w:pPr>
    </w:p>
    <w:p w14:paraId="4F99CD1F" w14:textId="0BA815F4" w:rsidR="000E3848" w:rsidRPr="00774D8A" w:rsidRDefault="000E3848" w:rsidP="000E3848">
      <w:pPr>
        <w:spacing w:after="0" w:line="240" w:lineRule="auto"/>
        <w:jc w:val="both"/>
        <w:rPr>
          <w:rFonts w:ascii="Times New Roman" w:hAnsi="Times New Roman" w:cs="Times New Roman"/>
          <w:b/>
          <w:bCs/>
          <w:sz w:val="24"/>
          <w:szCs w:val="24"/>
        </w:rPr>
      </w:pPr>
      <w:r w:rsidRPr="00774D8A">
        <w:rPr>
          <w:rFonts w:ascii="Times New Roman" w:hAnsi="Times New Roman" w:cs="Times New Roman"/>
          <w:sz w:val="24"/>
          <w:szCs w:val="24"/>
        </w:rPr>
        <w:t>The audit firm should be registered and have a license from a national or regional professional Accountancy Body. The firm should have relevant experience in accounting and auditing of development projects, especially NGOs and donor-funded operations.</w:t>
      </w:r>
    </w:p>
    <w:p w14:paraId="2B88B1DB" w14:textId="77777777" w:rsidR="005F6BCB" w:rsidRPr="00774D8A" w:rsidRDefault="005F6BCB" w:rsidP="00995136">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The auditor will employ staff with appropriate professional qualifications and suitable experience with IFAC standards and with experience in verifying financial information of entities comparable in size and complexity to the Recipient. In addition, the audit team as whole should have:</w:t>
      </w:r>
    </w:p>
    <w:p w14:paraId="361BEEE2" w14:textId="77777777" w:rsidR="005F6BCB" w:rsidRPr="00774D8A" w:rsidRDefault="005F6BCB" w:rsidP="00995136">
      <w:pPr>
        <w:spacing w:after="0" w:line="240" w:lineRule="auto"/>
        <w:jc w:val="both"/>
        <w:rPr>
          <w:rFonts w:ascii="Times New Roman" w:hAnsi="Times New Roman" w:cs="Times New Roman"/>
          <w:sz w:val="24"/>
          <w:szCs w:val="24"/>
        </w:rPr>
      </w:pPr>
    </w:p>
    <w:p w14:paraId="68A82326" w14:textId="5BEBE346"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Experience with programme and projects related to donor funded project by national and/or international donors and institutions. </w:t>
      </w:r>
    </w:p>
    <w:p w14:paraId="15595AD9" w14:textId="77777777"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Experience with audits in </w:t>
      </w:r>
      <w:r w:rsidR="00CA1659" w:rsidRPr="00774D8A">
        <w:rPr>
          <w:rFonts w:ascii="Times New Roman" w:hAnsi="Times New Roman" w:cs="Times New Roman"/>
          <w:sz w:val="24"/>
          <w:szCs w:val="24"/>
        </w:rPr>
        <w:t>West Africa sub region particularly Ghana</w:t>
      </w:r>
    </w:p>
    <w:p w14:paraId="1FFEFBD8" w14:textId="77777777"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Experience with audits of </w:t>
      </w:r>
      <w:r w:rsidR="00CA1659" w:rsidRPr="00774D8A">
        <w:rPr>
          <w:rFonts w:ascii="Times New Roman" w:hAnsi="Times New Roman" w:cs="Times New Roman"/>
          <w:sz w:val="24"/>
          <w:szCs w:val="24"/>
        </w:rPr>
        <w:t>NGOs and Not-for-Profit Organisations</w:t>
      </w:r>
    </w:p>
    <w:p w14:paraId="14104C1D" w14:textId="38EED28A"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lastRenderedPageBreak/>
        <w:t xml:space="preserve">Sufficient knowledge of relevant laws, regulations and rules in the country concerned. This includes but is not limited to taxation, social security and labor regulations, accounting and reporting. </w:t>
      </w:r>
    </w:p>
    <w:p w14:paraId="3D0FCA2E" w14:textId="2A6B9C7A" w:rsidR="00B030CF" w:rsidRPr="00774D8A" w:rsidRDefault="00B030CF"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shd w:val="clear" w:color="auto" w:fill="FFFFFF"/>
        </w:rPr>
        <w:t>Spreadsheet software skills to quantify and illustrate routine financial reports, comparisons, impacts, and/or projections</w:t>
      </w:r>
    </w:p>
    <w:p w14:paraId="7D5ECE15" w14:textId="53CEDC3B" w:rsidR="00B030CF" w:rsidRPr="00774D8A" w:rsidRDefault="00B030CF"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shd w:val="clear" w:color="auto" w:fill="FFFFFF"/>
        </w:rPr>
        <w:t> Ability to effectively communicate accounting information, policies, and/or procedures in a manner easily understood by the stakeholder.</w:t>
      </w:r>
    </w:p>
    <w:p w14:paraId="5044A251" w14:textId="77777777"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Fluency in </w:t>
      </w:r>
      <w:r w:rsidR="00CA1659" w:rsidRPr="00774D8A">
        <w:rPr>
          <w:rFonts w:ascii="Times New Roman" w:hAnsi="Times New Roman" w:cs="Times New Roman"/>
          <w:sz w:val="24"/>
          <w:szCs w:val="24"/>
        </w:rPr>
        <w:t>English</w:t>
      </w:r>
    </w:p>
    <w:p w14:paraId="7413D696" w14:textId="081959E8" w:rsidR="005F6BCB" w:rsidRPr="00774D8A" w:rsidRDefault="005F6BCB" w:rsidP="00995136">
      <w:pPr>
        <w:pStyle w:val="ListParagraph"/>
        <w:numPr>
          <w:ilvl w:val="0"/>
          <w:numId w:val="8"/>
        </w:num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A good knowledge of </w:t>
      </w:r>
      <w:r w:rsidR="00CA1659" w:rsidRPr="00774D8A">
        <w:rPr>
          <w:rFonts w:ascii="Times New Roman" w:hAnsi="Times New Roman" w:cs="Times New Roman"/>
          <w:sz w:val="24"/>
          <w:szCs w:val="24"/>
        </w:rPr>
        <w:t>agricultural research &amp; development and innovation issues in Africa</w:t>
      </w:r>
      <w:r w:rsidR="004110D5" w:rsidRPr="00774D8A">
        <w:rPr>
          <w:rFonts w:ascii="Times New Roman" w:hAnsi="Times New Roman" w:cs="Times New Roman"/>
          <w:sz w:val="24"/>
          <w:szCs w:val="24"/>
        </w:rPr>
        <w:t xml:space="preserve"> will be an advantage</w:t>
      </w:r>
    </w:p>
    <w:p w14:paraId="381C3E8A" w14:textId="77777777" w:rsidR="005F6BCB" w:rsidRPr="00774D8A" w:rsidRDefault="005F6BCB" w:rsidP="005F6BCB">
      <w:pPr>
        <w:spacing w:after="0" w:line="240" w:lineRule="auto"/>
        <w:rPr>
          <w:rFonts w:ascii="Times New Roman" w:hAnsi="Times New Roman" w:cs="Times New Roman"/>
          <w:sz w:val="24"/>
          <w:szCs w:val="24"/>
        </w:rPr>
      </w:pPr>
    </w:p>
    <w:p w14:paraId="2E980C53" w14:textId="77777777" w:rsidR="005F6BCB" w:rsidRPr="00774D8A" w:rsidRDefault="005F6BCB" w:rsidP="005F6BCB">
      <w:pPr>
        <w:pStyle w:val="ListParagraph"/>
        <w:numPr>
          <w:ilvl w:val="2"/>
          <w:numId w:val="1"/>
        </w:numPr>
        <w:spacing w:after="0" w:line="240" w:lineRule="auto"/>
        <w:rPr>
          <w:rFonts w:ascii="Times New Roman" w:hAnsi="Times New Roman" w:cs="Times New Roman"/>
          <w:b/>
          <w:bCs/>
          <w:sz w:val="24"/>
          <w:szCs w:val="24"/>
        </w:rPr>
      </w:pPr>
      <w:r w:rsidRPr="00774D8A">
        <w:rPr>
          <w:rFonts w:ascii="Times New Roman" w:hAnsi="Times New Roman" w:cs="Times New Roman"/>
          <w:b/>
          <w:bCs/>
          <w:sz w:val="24"/>
          <w:szCs w:val="24"/>
        </w:rPr>
        <w:t>Team composition</w:t>
      </w:r>
    </w:p>
    <w:p w14:paraId="1A1D9DFA" w14:textId="23BF8690" w:rsidR="005F6BCB" w:rsidRPr="00774D8A" w:rsidRDefault="005F6BCB" w:rsidP="00995136">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The team of auditors required for this engagement will be composed of a</w:t>
      </w:r>
      <w:r w:rsidR="00AD08F0" w:rsidRPr="00774D8A">
        <w:rPr>
          <w:rFonts w:ascii="Times New Roman" w:hAnsi="Times New Roman" w:cs="Times New Roman"/>
          <w:sz w:val="24"/>
          <w:szCs w:val="24"/>
        </w:rPr>
        <w:t xml:space="preserve"> Chief Internal Auditor and </w:t>
      </w:r>
      <w:r w:rsidR="00713430" w:rsidRPr="00774D8A">
        <w:rPr>
          <w:rFonts w:ascii="Times New Roman" w:hAnsi="Times New Roman" w:cs="Times New Roman"/>
          <w:sz w:val="24"/>
          <w:szCs w:val="24"/>
        </w:rPr>
        <w:t>Senior Internal</w:t>
      </w:r>
      <w:r w:rsidR="00AD08F0" w:rsidRPr="00774D8A">
        <w:rPr>
          <w:rFonts w:ascii="Times New Roman" w:hAnsi="Times New Roman" w:cs="Times New Roman"/>
          <w:sz w:val="24"/>
          <w:szCs w:val="24"/>
        </w:rPr>
        <w:t xml:space="preserve"> Auditor.</w:t>
      </w:r>
      <w:r w:rsidRPr="00774D8A">
        <w:rPr>
          <w:rFonts w:ascii="Times New Roman" w:hAnsi="Times New Roman" w:cs="Times New Roman"/>
          <w:sz w:val="24"/>
          <w:szCs w:val="24"/>
        </w:rPr>
        <w:t xml:space="preserve"> </w:t>
      </w:r>
    </w:p>
    <w:p w14:paraId="7D4240C8" w14:textId="7B0B54BF" w:rsidR="005F6BCB" w:rsidRPr="00774D8A" w:rsidRDefault="005F6BCB" w:rsidP="00995136">
      <w:pPr>
        <w:spacing w:after="0" w:line="240" w:lineRule="auto"/>
        <w:jc w:val="both"/>
        <w:rPr>
          <w:rFonts w:ascii="Times New Roman" w:hAnsi="Times New Roman" w:cs="Times New Roman"/>
          <w:sz w:val="24"/>
          <w:szCs w:val="24"/>
        </w:rPr>
      </w:pPr>
    </w:p>
    <w:p w14:paraId="71BC2500" w14:textId="77777777" w:rsidR="005F6BCB" w:rsidRPr="00774D8A" w:rsidRDefault="005F6BCB" w:rsidP="00995136">
      <w:pPr>
        <w:pStyle w:val="ListParagraph"/>
        <w:numPr>
          <w:ilvl w:val="2"/>
          <w:numId w:val="1"/>
        </w:numPr>
        <w:spacing w:after="0" w:line="240" w:lineRule="auto"/>
        <w:jc w:val="both"/>
        <w:rPr>
          <w:rFonts w:ascii="Times New Roman" w:hAnsi="Times New Roman" w:cs="Times New Roman"/>
          <w:b/>
          <w:bCs/>
          <w:sz w:val="24"/>
          <w:szCs w:val="24"/>
        </w:rPr>
      </w:pPr>
      <w:r w:rsidRPr="00774D8A">
        <w:rPr>
          <w:rFonts w:ascii="Times New Roman" w:hAnsi="Times New Roman" w:cs="Times New Roman"/>
          <w:b/>
          <w:bCs/>
          <w:sz w:val="24"/>
          <w:szCs w:val="24"/>
        </w:rPr>
        <w:t xml:space="preserve">Categories of staff/experts </w:t>
      </w:r>
    </w:p>
    <w:p w14:paraId="59E46404" w14:textId="77777777" w:rsidR="004E0B0F" w:rsidRPr="00774D8A" w:rsidRDefault="004E0B0F" w:rsidP="00995136">
      <w:pPr>
        <w:spacing w:after="0" w:line="240" w:lineRule="auto"/>
        <w:jc w:val="both"/>
        <w:rPr>
          <w:rFonts w:ascii="Times New Roman" w:hAnsi="Times New Roman" w:cs="Times New Roman"/>
          <w:sz w:val="24"/>
          <w:szCs w:val="24"/>
        </w:rPr>
      </w:pPr>
    </w:p>
    <w:p w14:paraId="29DDC067" w14:textId="5465016B" w:rsidR="004E0B0F" w:rsidRPr="00774D8A" w:rsidRDefault="004E0B0F" w:rsidP="000E3848">
      <w:pPr>
        <w:pStyle w:val="ListParagraph"/>
        <w:numPr>
          <w:ilvl w:val="0"/>
          <w:numId w:val="24"/>
        </w:numPr>
        <w:spacing w:after="0" w:line="240" w:lineRule="auto"/>
        <w:jc w:val="both"/>
        <w:rPr>
          <w:rFonts w:ascii="Times New Roman" w:hAnsi="Times New Roman" w:cs="Times New Roman"/>
          <w:b/>
          <w:bCs/>
          <w:sz w:val="24"/>
          <w:szCs w:val="24"/>
        </w:rPr>
      </w:pPr>
      <w:r w:rsidRPr="00774D8A">
        <w:rPr>
          <w:rFonts w:ascii="Times New Roman" w:hAnsi="Times New Roman" w:cs="Times New Roman"/>
          <w:b/>
          <w:bCs/>
          <w:sz w:val="24"/>
          <w:szCs w:val="24"/>
        </w:rPr>
        <w:t>Category 1 – (</w:t>
      </w:r>
      <w:r w:rsidR="007670F8" w:rsidRPr="00774D8A">
        <w:rPr>
          <w:rFonts w:ascii="Times New Roman" w:hAnsi="Times New Roman" w:cs="Times New Roman"/>
          <w:b/>
          <w:bCs/>
          <w:sz w:val="24"/>
          <w:szCs w:val="24"/>
        </w:rPr>
        <w:t>Chief Internal Auditor</w:t>
      </w:r>
      <w:r w:rsidRPr="00774D8A">
        <w:rPr>
          <w:rFonts w:ascii="Times New Roman" w:hAnsi="Times New Roman" w:cs="Times New Roman"/>
          <w:b/>
          <w:bCs/>
          <w:sz w:val="24"/>
          <w:szCs w:val="24"/>
        </w:rPr>
        <w:t>)</w:t>
      </w:r>
    </w:p>
    <w:p w14:paraId="3B2AE5D1" w14:textId="6E46E1D3" w:rsidR="004E0B0F" w:rsidRPr="00774D8A" w:rsidRDefault="004E0B0F" w:rsidP="00995136">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A Category 1 expert (</w:t>
      </w:r>
      <w:r w:rsidR="00D47F65" w:rsidRPr="00774D8A">
        <w:rPr>
          <w:rFonts w:ascii="Times New Roman" w:hAnsi="Times New Roman" w:cs="Times New Roman"/>
          <w:sz w:val="24"/>
          <w:szCs w:val="24"/>
        </w:rPr>
        <w:t>Chief Internal Auditor</w:t>
      </w:r>
      <w:r w:rsidRPr="00774D8A">
        <w:rPr>
          <w:rFonts w:ascii="Times New Roman" w:hAnsi="Times New Roman" w:cs="Times New Roman"/>
          <w:sz w:val="24"/>
          <w:szCs w:val="24"/>
        </w:rPr>
        <w:t xml:space="preserve">) should </w:t>
      </w:r>
      <w:r w:rsidR="00D47F65" w:rsidRPr="00774D8A">
        <w:rPr>
          <w:rFonts w:ascii="Times New Roman" w:hAnsi="Times New Roman" w:cs="Times New Roman"/>
          <w:sz w:val="24"/>
          <w:szCs w:val="24"/>
        </w:rPr>
        <w:t>have c</w:t>
      </w:r>
      <w:r w:rsidR="00D47F65" w:rsidRPr="00774D8A">
        <w:rPr>
          <w:rFonts w:ascii="Times New Roman" w:hAnsi="Times New Roman" w:cs="Times New Roman"/>
          <w:sz w:val="24"/>
          <w:szCs w:val="24"/>
          <w:shd w:val="clear" w:color="auto" w:fill="FFFFFF"/>
        </w:rPr>
        <w:t xml:space="preserve">ompleted a university program with at least (MSc) in Accounting, </w:t>
      </w:r>
      <w:r w:rsidR="00713430" w:rsidRPr="00774D8A">
        <w:rPr>
          <w:rFonts w:ascii="Times New Roman" w:hAnsi="Times New Roman" w:cs="Times New Roman"/>
          <w:sz w:val="24"/>
          <w:szCs w:val="24"/>
          <w:shd w:val="clear" w:color="auto" w:fill="FFFFFF"/>
        </w:rPr>
        <w:t xml:space="preserve">Finance, </w:t>
      </w:r>
      <w:r w:rsidR="00D47F65" w:rsidRPr="00774D8A">
        <w:rPr>
          <w:rFonts w:ascii="Times New Roman" w:hAnsi="Times New Roman" w:cs="Times New Roman"/>
          <w:sz w:val="24"/>
          <w:szCs w:val="24"/>
          <w:shd w:val="clear" w:color="auto" w:fill="FFFFFF"/>
        </w:rPr>
        <w:t>Auditing, Business Administration, Economics, Engineering, IT, Mathematics or Law, or MBA. Professional auditing certification (preferred), such as Certified Internal Auditor (CIA), Certified Public Accountant (CPA), Chartered Accountant (CA), Certified Fraud Examiner (CFE) and Certified Information Systems Auditor (CISA)</w:t>
      </w:r>
      <w:r w:rsidRPr="00774D8A">
        <w:rPr>
          <w:rFonts w:ascii="Times New Roman" w:hAnsi="Times New Roman" w:cs="Times New Roman"/>
          <w:sz w:val="24"/>
          <w:szCs w:val="24"/>
        </w:rPr>
        <w:t>.</w:t>
      </w:r>
      <w:r w:rsidR="00D47F65" w:rsidRPr="00774D8A">
        <w:rPr>
          <w:rFonts w:ascii="Times New Roman" w:hAnsi="Times New Roman" w:cs="Times New Roman"/>
          <w:sz w:val="24"/>
          <w:szCs w:val="24"/>
        </w:rPr>
        <w:t xml:space="preserve"> </w:t>
      </w:r>
      <w:r w:rsidRPr="00774D8A">
        <w:rPr>
          <w:rFonts w:ascii="Times New Roman" w:hAnsi="Times New Roman" w:cs="Times New Roman"/>
          <w:sz w:val="24"/>
          <w:szCs w:val="24"/>
        </w:rPr>
        <w:t>He/she must have at least 12 years of professional experience as a professional auditor or accountant in public audit practice. The audit partner will be the person who will be responsible for the specific contract and its performance as well as for the report that is issued on behalf of the firm. He/she has the appropriate authority from a professional, legal or regulatory body and is authorized to certify accounts by the laws of the country in which the audit firm is registered.</w:t>
      </w:r>
    </w:p>
    <w:p w14:paraId="77BF57D1" w14:textId="77777777" w:rsidR="004E0B0F" w:rsidRPr="00774D8A" w:rsidRDefault="004E0B0F" w:rsidP="004E0B0F">
      <w:pPr>
        <w:spacing w:after="0" w:line="240" w:lineRule="auto"/>
        <w:jc w:val="both"/>
        <w:rPr>
          <w:rFonts w:ascii="Times New Roman" w:hAnsi="Times New Roman" w:cs="Times New Roman"/>
          <w:sz w:val="24"/>
          <w:szCs w:val="24"/>
        </w:rPr>
      </w:pPr>
    </w:p>
    <w:p w14:paraId="0298E56A" w14:textId="3B5C9E2D" w:rsidR="004E0B0F" w:rsidRPr="00774D8A" w:rsidRDefault="004E0B0F" w:rsidP="000E3848">
      <w:pPr>
        <w:pStyle w:val="ListParagraph"/>
        <w:numPr>
          <w:ilvl w:val="0"/>
          <w:numId w:val="24"/>
        </w:numPr>
        <w:spacing w:after="0" w:line="240" w:lineRule="auto"/>
        <w:rPr>
          <w:rFonts w:ascii="Times New Roman" w:hAnsi="Times New Roman" w:cs="Times New Roman"/>
          <w:b/>
          <w:bCs/>
          <w:sz w:val="24"/>
          <w:szCs w:val="24"/>
        </w:rPr>
      </w:pPr>
      <w:r w:rsidRPr="00774D8A">
        <w:rPr>
          <w:rFonts w:ascii="Times New Roman" w:hAnsi="Times New Roman" w:cs="Times New Roman"/>
          <w:b/>
          <w:bCs/>
          <w:sz w:val="24"/>
          <w:szCs w:val="24"/>
        </w:rPr>
        <w:t>Category 2 – (</w:t>
      </w:r>
      <w:r w:rsidR="007670F8" w:rsidRPr="00774D8A">
        <w:rPr>
          <w:rFonts w:ascii="Times New Roman" w:hAnsi="Times New Roman" w:cs="Times New Roman"/>
          <w:b/>
          <w:bCs/>
          <w:sz w:val="24"/>
          <w:szCs w:val="24"/>
        </w:rPr>
        <w:t>Senior Internal</w:t>
      </w:r>
      <w:r w:rsidRPr="00774D8A">
        <w:rPr>
          <w:rFonts w:ascii="Times New Roman" w:hAnsi="Times New Roman" w:cs="Times New Roman"/>
          <w:b/>
          <w:bCs/>
          <w:sz w:val="24"/>
          <w:szCs w:val="24"/>
        </w:rPr>
        <w:t xml:space="preserve"> Audit</w:t>
      </w:r>
      <w:r w:rsidR="007670F8" w:rsidRPr="00774D8A">
        <w:rPr>
          <w:rFonts w:ascii="Times New Roman" w:hAnsi="Times New Roman" w:cs="Times New Roman"/>
          <w:b/>
          <w:bCs/>
          <w:sz w:val="24"/>
          <w:szCs w:val="24"/>
        </w:rPr>
        <w:t>or</w:t>
      </w:r>
      <w:r w:rsidRPr="00774D8A">
        <w:rPr>
          <w:rFonts w:ascii="Times New Roman" w:hAnsi="Times New Roman" w:cs="Times New Roman"/>
          <w:b/>
          <w:bCs/>
          <w:sz w:val="24"/>
          <w:szCs w:val="24"/>
        </w:rPr>
        <w:t>)</w:t>
      </w:r>
    </w:p>
    <w:p w14:paraId="3EA5C9FB" w14:textId="1865D670" w:rsidR="004E0B0F" w:rsidRPr="00774D8A" w:rsidRDefault="00D47F65" w:rsidP="004E0B0F">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The Senior Internal </w:t>
      </w:r>
      <w:r w:rsidR="004E0B0F" w:rsidRPr="00774D8A">
        <w:rPr>
          <w:rFonts w:ascii="Times New Roman" w:hAnsi="Times New Roman" w:cs="Times New Roman"/>
          <w:sz w:val="24"/>
          <w:szCs w:val="24"/>
        </w:rPr>
        <w:t>Audit</w:t>
      </w:r>
      <w:r w:rsidRPr="00774D8A">
        <w:rPr>
          <w:rFonts w:ascii="Times New Roman" w:hAnsi="Times New Roman" w:cs="Times New Roman"/>
          <w:sz w:val="24"/>
          <w:szCs w:val="24"/>
        </w:rPr>
        <w:t>or</w:t>
      </w:r>
      <w:r w:rsidR="004E0B0F" w:rsidRPr="00774D8A">
        <w:rPr>
          <w:rFonts w:ascii="Times New Roman" w:hAnsi="Times New Roman" w:cs="Times New Roman"/>
          <w:sz w:val="24"/>
          <w:szCs w:val="24"/>
        </w:rPr>
        <w:t xml:space="preserve"> should be </w:t>
      </w:r>
      <w:r w:rsidR="00322395" w:rsidRPr="00774D8A">
        <w:rPr>
          <w:rFonts w:ascii="Times New Roman" w:hAnsi="Times New Roman" w:cs="Times New Roman"/>
          <w:sz w:val="24"/>
          <w:szCs w:val="24"/>
        </w:rPr>
        <w:t xml:space="preserve">a </w:t>
      </w:r>
      <w:r w:rsidR="004E0B0F" w:rsidRPr="00774D8A">
        <w:rPr>
          <w:rFonts w:ascii="Times New Roman" w:hAnsi="Times New Roman" w:cs="Times New Roman"/>
          <w:sz w:val="24"/>
          <w:szCs w:val="24"/>
        </w:rPr>
        <w:t>qualified expert with a relevant university degree or professional qualification</w:t>
      </w:r>
      <w:r w:rsidRPr="00774D8A">
        <w:rPr>
          <w:rFonts w:ascii="Times New Roman" w:hAnsi="Times New Roman" w:cs="Times New Roman"/>
          <w:sz w:val="24"/>
          <w:szCs w:val="24"/>
        </w:rPr>
        <w:t xml:space="preserve">, </w:t>
      </w:r>
      <w:proofErr w:type="gramStart"/>
      <w:r w:rsidR="00322395" w:rsidRPr="00774D8A">
        <w:rPr>
          <w:rFonts w:ascii="Times New Roman" w:hAnsi="Times New Roman" w:cs="Times New Roman"/>
          <w:sz w:val="24"/>
          <w:szCs w:val="24"/>
        </w:rPr>
        <w:t>i.e.</w:t>
      </w:r>
      <w:proofErr w:type="gramEnd"/>
      <w:r w:rsidRPr="00774D8A">
        <w:rPr>
          <w:rFonts w:ascii="Times New Roman" w:hAnsi="Times New Roman" w:cs="Times New Roman"/>
          <w:sz w:val="24"/>
          <w:szCs w:val="24"/>
        </w:rPr>
        <w:t xml:space="preserve"> at least </w:t>
      </w:r>
      <w:r w:rsidRPr="00774D8A">
        <w:rPr>
          <w:rFonts w:ascii="Times New Roman" w:hAnsi="Times New Roman" w:cs="Times New Roman"/>
          <w:sz w:val="24"/>
          <w:szCs w:val="24"/>
          <w:shd w:val="clear" w:color="auto" w:fill="FFFFFF"/>
        </w:rPr>
        <w:t xml:space="preserve">(MSc) in Accounting, </w:t>
      </w:r>
      <w:r w:rsidR="00713430" w:rsidRPr="00774D8A">
        <w:rPr>
          <w:rFonts w:ascii="Times New Roman" w:hAnsi="Times New Roman" w:cs="Times New Roman"/>
          <w:sz w:val="24"/>
          <w:szCs w:val="24"/>
          <w:shd w:val="clear" w:color="auto" w:fill="FFFFFF"/>
        </w:rPr>
        <w:t xml:space="preserve">Finance, </w:t>
      </w:r>
      <w:r w:rsidRPr="00774D8A">
        <w:rPr>
          <w:rFonts w:ascii="Times New Roman" w:hAnsi="Times New Roman" w:cs="Times New Roman"/>
          <w:sz w:val="24"/>
          <w:szCs w:val="24"/>
          <w:shd w:val="clear" w:color="auto" w:fill="FFFFFF"/>
        </w:rPr>
        <w:t>Auditing, Business Administration, Economics, Engineering, IT, Mathematics or Law, or MBA.</w:t>
      </w:r>
      <w:r w:rsidR="004E0B0F" w:rsidRPr="00774D8A">
        <w:rPr>
          <w:rFonts w:ascii="Times New Roman" w:hAnsi="Times New Roman" w:cs="Times New Roman"/>
          <w:sz w:val="24"/>
          <w:szCs w:val="24"/>
        </w:rPr>
        <w:t xml:space="preserve"> </w:t>
      </w:r>
      <w:r w:rsidR="00322395" w:rsidRPr="00774D8A">
        <w:rPr>
          <w:rFonts w:ascii="Times New Roman" w:hAnsi="Times New Roman" w:cs="Times New Roman"/>
          <w:sz w:val="24"/>
          <w:szCs w:val="24"/>
        </w:rPr>
        <w:t>S</w:t>
      </w:r>
      <w:r w:rsidR="004E0B0F" w:rsidRPr="00774D8A">
        <w:rPr>
          <w:rFonts w:ascii="Times New Roman" w:hAnsi="Times New Roman" w:cs="Times New Roman"/>
          <w:sz w:val="24"/>
          <w:szCs w:val="24"/>
        </w:rPr>
        <w:t>hould have at least 6 years of experience as a professional auditor or accountant in public audit practice including relevant managerial experience of leading audit teams. He/she should be a member of a national or international accounting or auditing body or institution.</w:t>
      </w:r>
    </w:p>
    <w:p w14:paraId="6993590F" w14:textId="4F9AC676" w:rsidR="005F6BCB" w:rsidRPr="00774D8A" w:rsidRDefault="005F6BCB" w:rsidP="005F6BCB">
      <w:pPr>
        <w:spacing w:after="0" w:line="240" w:lineRule="auto"/>
        <w:rPr>
          <w:rFonts w:ascii="Times New Roman" w:hAnsi="Times New Roman" w:cs="Times New Roman"/>
          <w:sz w:val="24"/>
          <w:szCs w:val="24"/>
        </w:rPr>
      </w:pPr>
    </w:p>
    <w:p w14:paraId="54CC80A5" w14:textId="77777777" w:rsidR="005F6BCB" w:rsidRPr="00774D8A" w:rsidRDefault="005F6BCB" w:rsidP="005F6BCB">
      <w:pPr>
        <w:pStyle w:val="ListParagraph"/>
        <w:numPr>
          <w:ilvl w:val="2"/>
          <w:numId w:val="1"/>
        </w:numPr>
        <w:spacing w:after="0" w:line="240" w:lineRule="auto"/>
        <w:rPr>
          <w:rFonts w:ascii="Times New Roman" w:hAnsi="Times New Roman" w:cs="Times New Roman"/>
          <w:b/>
          <w:bCs/>
          <w:sz w:val="24"/>
          <w:szCs w:val="24"/>
        </w:rPr>
      </w:pPr>
      <w:r w:rsidRPr="00774D8A">
        <w:rPr>
          <w:rFonts w:ascii="Times New Roman" w:hAnsi="Times New Roman" w:cs="Times New Roman"/>
          <w:b/>
          <w:bCs/>
          <w:sz w:val="24"/>
          <w:szCs w:val="24"/>
        </w:rPr>
        <w:t xml:space="preserve">Curriculum Vitae (CVs) </w:t>
      </w:r>
    </w:p>
    <w:p w14:paraId="580FB8D0" w14:textId="4CF76941" w:rsidR="00322395" w:rsidRDefault="004E0B0F" w:rsidP="00774D8A">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The auditor will provide </w:t>
      </w:r>
      <w:r w:rsidR="00556928" w:rsidRPr="00774D8A">
        <w:rPr>
          <w:rFonts w:ascii="Times New Roman" w:hAnsi="Times New Roman" w:cs="Times New Roman"/>
          <w:sz w:val="24"/>
          <w:szCs w:val="24"/>
        </w:rPr>
        <w:t>FARA</w:t>
      </w:r>
      <w:r w:rsidRPr="00774D8A">
        <w:rPr>
          <w:rFonts w:ascii="Times New Roman" w:hAnsi="Times New Roman" w:cs="Times New Roman"/>
          <w:sz w:val="24"/>
          <w:szCs w:val="24"/>
        </w:rPr>
        <w:t xml:space="preserve"> with CVs of the staff/experts involved in the engagement. The CVs will include appropriate details for the purpose of the evaluation of the offer on the relevant specific experience for this engagement and the qualifying work carried out in the past.</w:t>
      </w:r>
    </w:p>
    <w:p w14:paraId="4A8DCC56" w14:textId="3CE4E465" w:rsidR="00774D8A" w:rsidRDefault="00774D8A" w:rsidP="00774D8A">
      <w:pPr>
        <w:spacing w:after="0" w:line="240" w:lineRule="auto"/>
        <w:jc w:val="both"/>
        <w:rPr>
          <w:rFonts w:ascii="Times New Roman" w:hAnsi="Times New Roman" w:cs="Times New Roman"/>
          <w:sz w:val="24"/>
          <w:szCs w:val="24"/>
        </w:rPr>
      </w:pPr>
    </w:p>
    <w:p w14:paraId="341AD8C6" w14:textId="77777777" w:rsidR="00774D8A" w:rsidRPr="00774D8A" w:rsidRDefault="00774D8A" w:rsidP="00774D8A">
      <w:pPr>
        <w:spacing w:after="0" w:line="240" w:lineRule="auto"/>
        <w:jc w:val="both"/>
        <w:rPr>
          <w:rFonts w:ascii="Times New Roman" w:hAnsi="Times New Roman" w:cs="Times New Roman"/>
          <w:sz w:val="24"/>
          <w:szCs w:val="24"/>
        </w:rPr>
      </w:pPr>
    </w:p>
    <w:p w14:paraId="0D96C119" w14:textId="77777777" w:rsidR="00322395" w:rsidRPr="00774D8A" w:rsidRDefault="00322395" w:rsidP="000713C2">
      <w:pPr>
        <w:spacing w:after="0" w:line="240" w:lineRule="auto"/>
        <w:rPr>
          <w:rFonts w:ascii="Times New Roman" w:hAnsi="Times New Roman" w:cs="Times New Roman"/>
          <w:sz w:val="24"/>
          <w:szCs w:val="24"/>
        </w:rPr>
      </w:pPr>
    </w:p>
    <w:p w14:paraId="51C83C84" w14:textId="77777777" w:rsidR="006677FB" w:rsidRPr="00774D8A" w:rsidRDefault="00965474" w:rsidP="0013341B">
      <w:pPr>
        <w:pStyle w:val="ListParagraph"/>
        <w:numPr>
          <w:ilvl w:val="0"/>
          <w:numId w:val="1"/>
        </w:numPr>
        <w:spacing w:after="0" w:line="240" w:lineRule="auto"/>
        <w:rPr>
          <w:rFonts w:ascii="Times New Roman" w:hAnsi="Times New Roman" w:cs="Times New Roman"/>
          <w:b/>
          <w:bCs/>
          <w:sz w:val="24"/>
          <w:szCs w:val="24"/>
        </w:rPr>
      </w:pPr>
      <w:r w:rsidRPr="00774D8A">
        <w:rPr>
          <w:rFonts w:ascii="Times New Roman" w:hAnsi="Times New Roman" w:cs="Times New Roman"/>
          <w:b/>
          <w:bCs/>
          <w:sz w:val="24"/>
          <w:szCs w:val="24"/>
        </w:rPr>
        <w:t xml:space="preserve">Reporting </w:t>
      </w:r>
    </w:p>
    <w:p w14:paraId="09C66F98" w14:textId="77777777" w:rsidR="0013341B" w:rsidRPr="00774D8A" w:rsidRDefault="0013341B" w:rsidP="00387985">
      <w:pPr>
        <w:spacing w:after="0" w:line="240" w:lineRule="auto"/>
        <w:rPr>
          <w:rFonts w:ascii="Times New Roman" w:hAnsi="Times New Roman" w:cs="Times New Roman"/>
          <w:sz w:val="24"/>
          <w:szCs w:val="24"/>
          <w:lang w:val="en-GB"/>
        </w:rPr>
      </w:pPr>
    </w:p>
    <w:p w14:paraId="115BF9F4" w14:textId="77777777" w:rsidR="00807C75" w:rsidRPr="00774D8A" w:rsidRDefault="00807C75" w:rsidP="0077012D">
      <w:pPr>
        <w:jc w:val="both"/>
        <w:rPr>
          <w:rFonts w:ascii="Times New Roman" w:hAnsi="Times New Roman" w:cs="Times New Roman"/>
          <w:sz w:val="24"/>
          <w:szCs w:val="24"/>
        </w:rPr>
      </w:pPr>
      <w:r w:rsidRPr="00774D8A">
        <w:rPr>
          <w:rFonts w:ascii="Times New Roman" w:hAnsi="Times New Roman" w:cs="Times New Roman"/>
          <w:sz w:val="24"/>
          <w:szCs w:val="24"/>
        </w:rPr>
        <w:t xml:space="preserve">The auditors would submit quarterly reports and an annual report. </w:t>
      </w:r>
    </w:p>
    <w:p w14:paraId="5B0C4B62" w14:textId="52EF9ACD" w:rsidR="00D54E3F" w:rsidRPr="00774D8A" w:rsidRDefault="00807C75" w:rsidP="00807C75">
      <w:pPr>
        <w:pStyle w:val="ListParagraph"/>
        <w:numPr>
          <w:ilvl w:val="0"/>
          <w:numId w:val="22"/>
        </w:numPr>
        <w:jc w:val="both"/>
        <w:rPr>
          <w:rFonts w:ascii="Times New Roman" w:hAnsi="Times New Roman" w:cs="Times New Roman"/>
          <w:sz w:val="24"/>
          <w:szCs w:val="24"/>
        </w:rPr>
      </w:pPr>
      <w:r w:rsidRPr="00774D8A">
        <w:rPr>
          <w:rFonts w:ascii="Times New Roman" w:hAnsi="Times New Roman" w:cs="Times New Roman"/>
          <w:sz w:val="24"/>
          <w:szCs w:val="24"/>
        </w:rPr>
        <w:t xml:space="preserve">Quarterly Reporting: The Auditors will provide a quarterly report for the units audited during the quarter containing findings and recommendations to enable Management to take timely action. The Report shall contain the records verified, deviations, if any, the adequacy of internal controls and the adherence to rules and regulations made from time to time under the </w:t>
      </w:r>
      <w:proofErr w:type="spellStart"/>
      <w:r w:rsidRPr="00774D8A">
        <w:rPr>
          <w:rFonts w:ascii="Times New Roman" w:hAnsi="Times New Roman" w:cs="Times New Roman"/>
          <w:sz w:val="24"/>
          <w:szCs w:val="24"/>
        </w:rPr>
        <w:t>organisation</w:t>
      </w:r>
      <w:proofErr w:type="spellEnd"/>
      <w:r w:rsidRPr="00774D8A">
        <w:rPr>
          <w:rFonts w:ascii="Times New Roman" w:hAnsi="Times New Roman" w:cs="Times New Roman"/>
          <w:sz w:val="24"/>
          <w:szCs w:val="24"/>
        </w:rPr>
        <w:t xml:space="preserve">. The report should be discussed and agreed with the auditee and should be structured in a manner giving the observations, the implications of the observations, the suggested recommendation and the management comments/ agreed actions. In </w:t>
      </w:r>
      <w:r w:rsidR="00322395" w:rsidRPr="00774D8A">
        <w:rPr>
          <w:rFonts w:ascii="Times New Roman" w:hAnsi="Times New Roman" w:cs="Times New Roman"/>
          <w:sz w:val="24"/>
          <w:szCs w:val="24"/>
        </w:rPr>
        <w:t>addition,</w:t>
      </w:r>
      <w:r w:rsidRPr="00774D8A">
        <w:rPr>
          <w:rFonts w:ascii="Times New Roman" w:hAnsi="Times New Roman" w:cs="Times New Roman"/>
          <w:sz w:val="24"/>
          <w:szCs w:val="24"/>
        </w:rPr>
        <w:t xml:space="preserve"> the internal auditor should provide an Executive Summary highlighting the critical issues which require the attention and the status of actions on the previous recommendations. The audit observations should be supported by instances and quantified, as far as practicable.</w:t>
      </w:r>
    </w:p>
    <w:p w14:paraId="58B98507" w14:textId="3B4223CB" w:rsidR="00807C75" w:rsidRPr="00774D8A" w:rsidRDefault="00807C75" w:rsidP="00807C75">
      <w:pPr>
        <w:pStyle w:val="ListParagraph"/>
        <w:numPr>
          <w:ilvl w:val="0"/>
          <w:numId w:val="22"/>
        </w:numPr>
        <w:jc w:val="both"/>
        <w:rPr>
          <w:rFonts w:ascii="Times New Roman" w:hAnsi="Times New Roman" w:cs="Times New Roman"/>
          <w:sz w:val="24"/>
          <w:szCs w:val="24"/>
        </w:rPr>
      </w:pPr>
      <w:r w:rsidRPr="00774D8A">
        <w:rPr>
          <w:rFonts w:ascii="Times New Roman" w:hAnsi="Times New Roman" w:cs="Times New Roman"/>
          <w:sz w:val="24"/>
          <w:szCs w:val="24"/>
        </w:rPr>
        <w:t xml:space="preserve">The quarterly audit reports should be submitted within </w:t>
      </w:r>
      <w:r w:rsidR="00322395" w:rsidRPr="00774D8A">
        <w:rPr>
          <w:rFonts w:ascii="Times New Roman" w:hAnsi="Times New Roman" w:cs="Times New Roman"/>
          <w:sz w:val="24"/>
          <w:szCs w:val="24"/>
        </w:rPr>
        <w:t>30</w:t>
      </w:r>
      <w:r w:rsidRPr="00774D8A">
        <w:rPr>
          <w:rFonts w:ascii="Times New Roman" w:hAnsi="Times New Roman" w:cs="Times New Roman"/>
          <w:sz w:val="24"/>
          <w:szCs w:val="24"/>
        </w:rPr>
        <w:t xml:space="preserve"> days from the end of the quarter with a management letter, executive summary and the detailed report. The reports will be submitted to the Executive Director. The auditor will provide a report to Management highlighting findings during the period under review. This will be in the form of a Management Letter which will inter-alia include: </w:t>
      </w:r>
    </w:p>
    <w:p w14:paraId="1157CD1D" w14:textId="77777777" w:rsidR="00AE76F0"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Comments and observations on the financial management records, systems and controls that were examined during the course of the review</w:t>
      </w:r>
      <w:r w:rsidR="00AE76F0" w:rsidRPr="00774D8A">
        <w:rPr>
          <w:rFonts w:ascii="Times New Roman" w:hAnsi="Times New Roman" w:cs="Times New Roman"/>
          <w:sz w:val="24"/>
          <w:szCs w:val="24"/>
        </w:rPr>
        <w:t>;</w:t>
      </w:r>
    </w:p>
    <w:p w14:paraId="1B7FF98F" w14:textId="77777777" w:rsidR="00AE76F0"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Deficiencies and areas of weaknesses in systems and controls and recommendation for their improvement</w:t>
      </w:r>
      <w:r w:rsidR="00AE76F0" w:rsidRPr="00774D8A">
        <w:rPr>
          <w:rFonts w:ascii="Times New Roman" w:hAnsi="Times New Roman" w:cs="Times New Roman"/>
          <w:sz w:val="24"/>
          <w:szCs w:val="24"/>
        </w:rPr>
        <w:t>;</w:t>
      </w:r>
    </w:p>
    <w:p w14:paraId="598A1DA9" w14:textId="77777777" w:rsidR="00AE76F0"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 xml:space="preserve">Matters that have come to attention during the review and might have a significant impact on </w:t>
      </w:r>
      <w:r w:rsidR="00AE76F0" w:rsidRPr="00774D8A">
        <w:rPr>
          <w:rFonts w:ascii="Times New Roman" w:hAnsi="Times New Roman" w:cs="Times New Roman"/>
          <w:sz w:val="24"/>
          <w:szCs w:val="24"/>
        </w:rPr>
        <w:t>operations;</w:t>
      </w:r>
    </w:p>
    <w:p w14:paraId="74DDD65F" w14:textId="4D1B3EC7" w:rsidR="00AE76F0"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 xml:space="preserve">Any special review procedures required of a compliance nature (for example, compliance of the procurement procedures, procedure for selection of consultants </w:t>
      </w:r>
      <w:proofErr w:type="spellStart"/>
      <w:r w:rsidRPr="00774D8A">
        <w:rPr>
          <w:rFonts w:ascii="Times New Roman" w:hAnsi="Times New Roman" w:cs="Times New Roman"/>
          <w:sz w:val="24"/>
          <w:szCs w:val="24"/>
        </w:rPr>
        <w:t>etc</w:t>
      </w:r>
      <w:proofErr w:type="spellEnd"/>
      <w:r w:rsidR="00AE76F0" w:rsidRPr="00774D8A">
        <w:rPr>
          <w:rFonts w:ascii="Times New Roman" w:hAnsi="Times New Roman" w:cs="Times New Roman"/>
          <w:sz w:val="24"/>
          <w:szCs w:val="24"/>
        </w:rPr>
        <w:t xml:space="preserve">; </w:t>
      </w:r>
    </w:p>
    <w:p w14:paraId="1896FB60" w14:textId="77777777" w:rsidR="00AE76F0"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Status of compliance to previous report</w:t>
      </w:r>
      <w:r w:rsidR="00AE76F0" w:rsidRPr="00774D8A">
        <w:rPr>
          <w:rFonts w:ascii="Times New Roman" w:hAnsi="Times New Roman" w:cs="Times New Roman"/>
          <w:sz w:val="24"/>
          <w:szCs w:val="24"/>
        </w:rPr>
        <w:t>;</w:t>
      </w:r>
      <w:r w:rsidRPr="00774D8A">
        <w:rPr>
          <w:rFonts w:ascii="Times New Roman" w:hAnsi="Times New Roman" w:cs="Times New Roman"/>
          <w:sz w:val="24"/>
          <w:szCs w:val="24"/>
        </w:rPr>
        <w:t xml:space="preserve"> and </w:t>
      </w:r>
    </w:p>
    <w:p w14:paraId="360C1847" w14:textId="595BACA9" w:rsidR="00807C75" w:rsidRPr="00774D8A" w:rsidRDefault="00807C75" w:rsidP="00AE76F0">
      <w:pPr>
        <w:pStyle w:val="ListParagraph"/>
        <w:numPr>
          <w:ilvl w:val="0"/>
          <w:numId w:val="23"/>
        </w:numPr>
        <w:jc w:val="both"/>
        <w:rPr>
          <w:rFonts w:ascii="Times New Roman" w:hAnsi="Times New Roman" w:cs="Times New Roman"/>
          <w:sz w:val="24"/>
          <w:szCs w:val="24"/>
        </w:rPr>
      </w:pPr>
      <w:r w:rsidRPr="00774D8A">
        <w:rPr>
          <w:rFonts w:ascii="Times New Roman" w:hAnsi="Times New Roman" w:cs="Times New Roman"/>
          <w:sz w:val="24"/>
          <w:szCs w:val="24"/>
        </w:rPr>
        <w:t>Any other matters that the auditor considers pertinent.</w:t>
      </w:r>
    </w:p>
    <w:p w14:paraId="2CFBBB5E" w14:textId="04FAF4DB" w:rsidR="00AE76F0" w:rsidRDefault="00AE76F0" w:rsidP="00AE76F0">
      <w:pPr>
        <w:pStyle w:val="ListParagraph"/>
        <w:ind w:left="1440"/>
        <w:jc w:val="both"/>
        <w:rPr>
          <w:rFonts w:ascii="Times New Roman" w:hAnsi="Times New Roman" w:cs="Times New Roman"/>
          <w:sz w:val="24"/>
          <w:szCs w:val="24"/>
        </w:rPr>
      </w:pPr>
    </w:p>
    <w:p w14:paraId="2A902FA1" w14:textId="7880048F" w:rsidR="00774D8A" w:rsidRDefault="00774D8A" w:rsidP="00AE76F0">
      <w:pPr>
        <w:pStyle w:val="ListParagraph"/>
        <w:ind w:left="1440"/>
        <w:jc w:val="both"/>
        <w:rPr>
          <w:rFonts w:ascii="Times New Roman" w:hAnsi="Times New Roman" w:cs="Times New Roman"/>
          <w:sz w:val="24"/>
          <w:szCs w:val="24"/>
        </w:rPr>
      </w:pPr>
    </w:p>
    <w:p w14:paraId="623BD051" w14:textId="2BB3A2B2" w:rsidR="00774D8A" w:rsidRDefault="00774D8A" w:rsidP="00AE76F0">
      <w:pPr>
        <w:pStyle w:val="ListParagraph"/>
        <w:ind w:left="1440"/>
        <w:jc w:val="both"/>
        <w:rPr>
          <w:rFonts w:ascii="Times New Roman" w:hAnsi="Times New Roman" w:cs="Times New Roman"/>
          <w:sz w:val="24"/>
          <w:szCs w:val="24"/>
        </w:rPr>
      </w:pPr>
    </w:p>
    <w:p w14:paraId="25755664" w14:textId="217FF7FF" w:rsidR="00774D8A" w:rsidRDefault="00774D8A" w:rsidP="00AE76F0">
      <w:pPr>
        <w:pStyle w:val="ListParagraph"/>
        <w:ind w:left="1440"/>
        <w:jc w:val="both"/>
        <w:rPr>
          <w:rFonts w:ascii="Times New Roman" w:hAnsi="Times New Roman" w:cs="Times New Roman"/>
          <w:sz w:val="24"/>
          <w:szCs w:val="24"/>
        </w:rPr>
      </w:pPr>
    </w:p>
    <w:p w14:paraId="4559B7EB" w14:textId="1DF19AC0" w:rsidR="00774D8A" w:rsidRDefault="00774D8A" w:rsidP="00AE76F0">
      <w:pPr>
        <w:pStyle w:val="ListParagraph"/>
        <w:ind w:left="1440"/>
        <w:jc w:val="both"/>
        <w:rPr>
          <w:rFonts w:ascii="Times New Roman" w:hAnsi="Times New Roman" w:cs="Times New Roman"/>
          <w:sz w:val="24"/>
          <w:szCs w:val="24"/>
        </w:rPr>
      </w:pPr>
    </w:p>
    <w:p w14:paraId="58CA6C33" w14:textId="68A5C00F" w:rsidR="00774D8A" w:rsidRDefault="00774D8A" w:rsidP="00AE76F0">
      <w:pPr>
        <w:pStyle w:val="ListParagraph"/>
        <w:ind w:left="1440"/>
        <w:jc w:val="both"/>
        <w:rPr>
          <w:rFonts w:ascii="Times New Roman" w:hAnsi="Times New Roman" w:cs="Times New Roman"/>
          <w:sz w:val="24"/>
          <w:szCs w:val="24"/>
        </w:rPr>
      </w:pPr>
    </w:p>
    <w:p w14:paraId="39C5EFFE" w14:textId="7994B65E" w:rsidR="00774D8A" w:rsidRDefault="00774D8A" w:rsidP="00AE76F0">
      <w:pPr>
        <w:pStyle w:val="ListParagraph"/>
        <w:ind w:left="1440"/>
        <w:jc w:val="both"/>
        <w:rPr>
          <w:rFonts w:ascii="Times New Roman" w:hAnsi="Times New Roman" w:cs="Times New Roman"/>
          <w:sz w:val="24"/>
          <w:szCs w:val="24"/>
        </w:rPr>
      </w:pPr>
    </w:p>
    <w:p w14:paraId="59251ED8" w14:textId="001D377D" w:rsidR="00774D8A" w:rsidRDefault="00774D8A" w:rsidP="00AE76F0">
      <w:pPr>
        <w:pStyle w:val="ListParagraph"/>
        <w:ind w:left="1440"/>
        <w:jc w:val="both"/>
        <w:rPr>
          <w:rFonts w:ascii="Times New Roman" w:hAnsi="Times New Roman" w:cs="Times New Roman"/>
          <w:sz w:val="24"/>
          <w:szCs w:val="24"/>
        </w:rPr>
      </w:pPr>
    </w:p>
    <w:p w14:paraId="7BE662EA" w14:textId="506DA72A" w:rsidR="00774D8A" w:rsidRDefault="00774D8A" w:rsidP="00AE76F0">
      <w:pPr>
        <w:pStyle w:val="ListParagraph"/>
        <w:ind w:left="1440"/>
        <w:jc w:val="both"/>
        <w:rPr>
          <w:rFonts w:ascii="Times New Roman" w:hAnsi="Times New Roman" w:cs="Times New Roman"/>
          <w:sz w:val="24"/>
          <w:szCs w:val="24"/>
        </w:rPr>
      </w:pPr>
    </w:p>
    <w:p w14:paraId="19B2DDBD" w14:textId="77777777" w:rsidR="00774D8A" w:rsidRPr="00774D8A" w:rsidRDefault="00774D8A" w:rsidP="00AE76F0">
      <w:pPr>
        <w:pStyle w:val="ListParagraph"/>
        <w:ind w:left="1440"/>
        <w:jc w:val="both"/>
        <w:rPr>
          <w:rFonts w:ascii="Times New Roman" w:hAnsi="Times New Roman" w:cs="Times New Roman"/>
          <w:sz w:val="24"/>
          <w:szCs w:val="24"/>
        </w:rPr>
      </w:pPr>
    </w:p>
    <w:p w14:paraId="76C7B00B" w14:textId="3C2B3706" w:rsidR="0077012D" w:rsidRPr="00774D8A" w:rsidRDefault="0077012D" w:rsidP="00D54E3F">
      <w:pPr>
        <w:pStyle w:val="ListParagraph"/>
        <w:numPr>
          <w:ilvl w:val="0"/>
          <w:numId w:val="1"/>
        </w:numPr>
        <w:jc w:val="both"/>
        <w:rPr>
          <w:rFonts w:ascii="Times New Roman" w:hAnsi="Times New Roman" w:cs="Times New Roman"/>
          <w:b/>
          <w:sz w:val="24"/>
          <w:szCs w:val="24"/>
        </w:rPr>
      </w:pPr>
      <w:r w:rsidRPr="00774D8A">
        <w:rPr>
          <w:rFonts w:ascii="Times New Roman" w:hAnsi="Times New Roman" w:cs="Times New Roman"/>
          <w:b/>
          <w:sz w:val="24"/>
          <w:szCs w:val="24"/>
        </w:rPr>
        <w:t>Duration of Assignment:</w:t>
      </w:r>
    </w:p>
    <w:p w14:paraId="587C760C" w14:textId="4E017FFC" w:rsidR="009E0F69" w:rsidRPr="00774D8A" w:rsidRDefault="009E0F69" w:rsidP="009E0F69">
      <w:pPr>
        <w:jc w:val="both"/>
        <w:rPr>
          <w:rFonts w:ascii="Times New Roman" w:hAnsi="Times New Roman" w:cs="Times New Roman"/>
          <w:sz w:val="24"/>
          <w:szCs w:val="24"/>
        </w:rPr>
      </w:pPr>
      <w:r w:rsidRPr="00774D8A">
        <w:rPr>
          <w:rFonts w:ascii="Times New Roman" w:hAnsi="Times New Roman" w:cs="Times New Roman"/>
          <w:sz w:val="24"/>
          <w:szCs w:val="24"/>
        </w:rPr>
        <w:lastRenderedPageBreak/>
        <w:t xml:space="preserve">The assignment will be for </w:t>
      </w:r>
      <w:r w:rsidR="00C465F4" w:rsidRPr="00774D8A">
        <w:rPr>
          <w:rFonts w:ascii="Times New Roman" w:hAnsi="Times New Roman" w:cs="Times New Roman"/>
          <w:sz w:val="24"/>
          <w:szCs w:val="24"/>
        </w:rPr>
        <w:t>96</w:t>
      </w:r>
      <w:r w:rsidRPr="00774D8A">
        <w:rPr>
          <w:rFonts w:ascii="Times New Roman" w:hAnsi="Times New Roman" w:cs="Times New Roman"/>
          <w:sz w:val="24"/>
          <w:szCs w:val="24"/>
        </w:rPr>
        <w:t xml:space="preserve"> </w:t>
      </w:r>
      <w:r w:rsidR="00774D8A">
        <w:rPr>
          <w:rFonts w:ascii="Times New Roman" w:hAnsi="Times New Roman" w:cs="Times New Roman"/>
          <w:sz w:val="24"/>
          <w:szCs w:val="24"/>
        </w:rPr>
        <w:t>man</w:t>
      </w:r>
      <w:r w:rsidRPr="00774D8A">
        <w:rPr>
          <w:rFonts w:ascii="Times New Roman" w:hAnsi="Times New Roman" w:cs="Times New Roman"/>
          <w:sz w:val="24"/>
          <w:szCs w:val="24"/>
        </w:rPr>
        <w:t xml:space="preserve">-days for </w:t>
      </w:r>
      <w:r w:rsidR="00322395" w:rsidRPr="00774D8A">
        <w:rPr>
          <w:rFonts w:ascii="Times New Roman" w:hAnsi="Times New Roman" w:cs="Times New Roman"/>
          <w:sz w:val="24"/>
          <w:szCs w:val="24"/>
        </w:rPr>
        <w:t>a</w:t>
      </w:r>
      <w:r w:rsidRPr="00774D8A">
        <w:rPr>
          <w:rFonts w:ascii="Times New Roman" w:hAnsi="Times New Roman" w:cs="Times New Roman"/>
          <w:sz w:val="24"/>
          <w:szCs w:val="24"/>
        </w:rPr>
        <w:t xml:space="preserve"> financial year audit with possibility of extension</w:t>
      </w:r>
      <w:r w:rsidR="00AE76F0" w:rsidRPr="00774D8A">
        <w:rPr>
          <w:rFonts w:ascii="Times New Roman" w:hAnsi="Times New Roman" w:cs="Times New Roman"/>
          <w:sz w:val="24"/>
          <w:szCs w:val="24"/>
        </w:rPr>
        <w:t xml:space="preserve"> strictly based on satisfactory performance</w:t>
      </w:r>
      <w:r w:rsidRPr="00774D8A">
        <w:rPr>
          <w:rFonts w:ascii="Times New Roman" w:hAnsi="Times New Roman" w:cs="Times New Roman"/>
          <w:sz w:val="24"/>
          <w:szCs w:val="24"/>
        </w:rPr>
        <w:t>. The key staff required for the assignment and the estimated time input required is enumerated below</w:t>
      </w:r>
      <w:r w:rsidR="00C465F4" w:rsidRPr="00774D8A">
        <w:rPr>
          <w:rFonts w:ascii="Times New Roman" w:hAnsi="Times New Roman" w:cs="Times New Roman"/>
          <w:sz w:val="24"/>
          <w:szCs w:val="24"/>
        </w:rPr>
        <w:t>;</w:t>
      </w:r>
    </w:p>
    <w:tbl>
      <w:tblPr>
        <w:tblW w:w="93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340"/>
        <w:gridCol w:w="2127"/>
      </w:tblGrid>
      <w:tr w:rsidR="00774D8A" w:rsidRPr="00774D8A" w14:paraId="73257F0C" w14:textId="31A0FE80" w:rsidTr="00774D8A">
        <w:trPr>
          <w:trHeight w:val="125"/>
          <w:tblHeader/>
        </w:trPr>
        <w:tc>
          <w:tcPr>
            <w:tcW w:w="2430" w:type="dxa"/>
            <w:shd w:val="clear" w:color="auto" w:fill="EEECE1" w:themeFill="background2"/>
            <w:vAlign w:val="center"/>
          </w:tcPr>
          <w:p w14:paraId="3A4E41CB" w14:textId="77777777" w:rsidR="00C465F4" w:rsidRPr="00774D8A" w:rsidRDefault="00C465F4" w:rsidP="009E0F69">
            <w:pPr>
              <w:pStyle w:val="NoSpacing"/>
              <w:rPr>
                <w:rFonts w:ascii="Times New Roman" w:hAnsi="Times New Roman" w:cs="Times New Roman"/>
                <w:b/>
                <w:bCs/>
              </w:rPr>
            </w:pPr>
            <w:r w:rsidRPr="00774D8A">
              <w:rPr>
                <w:rFonts w:ascii="Times New Roman" w:hAnsi="Times New Roman" w:cs="Times New Roman"/>
                <w:b/>
                <w:bCs/>
              </w:rPr>
              <w:t>Category</w:t>
            </w:r>
          </w:p>
        </w:tc>
        <w:tc>
          <w:tcPr>
            <w:tcW w:w="2430" w:type="dxa"/>
            <w:shd w:val="clear" w:color="auto" w:fill="EEECE1" w:themeFill="background2"/>
          </w:tcPr>
          <w:p w14:paraId="6B21961A" w14:textId="5E2B733B" w:rsidR="00C465F4" w:rsidRPr="00774D8A" w:rsidRDefault="00774D8A" w:rsidP="009E0F69">
            <w:pPr>
              <w:pStyle w:val="NoSpacing"/>
              <w:jc w:val="center"/>
              <w:rPr>
                <w:rFonts w:ascii="Times New Roman" w:hAnsi="Times New Roman" w:cs="Times New Roman"/>
                <w:b/>
                <w:bCs/>
              </w:rPr>
            </w:pPr>
            <w:r>
              <w:rPr>
                <w:rFonts w:ascii="Times New Roman" w:hAnsi="Times New Roman" w:cs="Times New Roman"/>
                <w:b/>
                <w:bCs/>
              </w:rPr>
              <w:t>Man-</w:t>
            </w:r>
            <w:r w:rsidR="00C465F4" w:rsidRPr="00774D8A">
              <w:rPr>
                <w:rFonts w:ascii="Times New Roman" w:hAnsi="Times New Roman" w:cs="Times New Roman"/>
                <w:b/>
                <w:bCs/>
              </w:rPr>
              <w:t>Days per Week</w:t>
            </w:r>
          </w:p>
        </w:tc>
        <w:tc>
          <w:tcPr>
            <w:tcW w:w="2340" w:type="dxa"/>
            <w:shd w:val="clear" w:color="auto" w:fill="EEECE1" w:themeFill="background2"/>
            <w:vAlign w:val="center"/>
          </w:tcPr>
          <w:p w14:paraId="673EE6B4" w14:textId="78C97281" w:rsidR="00C465F4" w:rsidRPr="00774D8A" w:rsidRDefault="00774D8A" w:rsidP="009E0F69">
            <w:pPr>
              <w:pStyle w:val="NoSpacing"/>
              <w:jc w:val="center"/>
              <w:rPr>
                <w:rFonts w:ascii="Times New Roman" w:hAnsi="Times New Roman" w:cs="Times New Roman"/>
                <w:b/>
                <w:bCs/>
              </w:rPr>
            </w:pPr>
            <w:r>
              <w:rPr>
                <w:rFonts w:ascii="Times New Roman" w:hAnsi="Times New Roman" w:cs="Times New Roman"/>
                <w:b/>
                <w:bCs/>
              </w:rPr>
              <w:t>Man-</w:t>
            </w:r>
            <w:r w:rsidR="00C465F4" w:rsidRPr="00774D8A">
              <w:rPr>
                <w:rFonts w:ascii="Times New Roman" w:hAnsi="Times New Roman" w:cs="Times New Roman"/>
                <w:b/>
                <w:bCs/>
              </w:rPr>
              <w:t>Days per Month</w:t>
            </w:r>
          </w:p>
        </w:tc>
        <w:tc>
          <w:tcPr>
            <w:tcW w:w="2127" w:type="dxa"/>
            <w:shd w:val="clear" w:color="auto" w:fill="EEECE1" w:themeFill="background2"/>
          </w:tcPr>
          <w:p w14:paraId="0850547D" w14:textId="7EBF5AF3" w:rsidR="00C465F4" w:rsidRPr="00774D8A" w:rsidRDefault="00774D8A" w:rsidP="009E0F69">
            <w:pPr>
              <w:pStyle w:val="NoSpacing"/>
              <w:jc w:val="center"/>
              <w:rPr>
                <w:rFonts w:ascii="Times New Roman" w:hAnsi="Times New Roman" w:cs="Times New Roman"/>
                <w:b/>
                <w:bCs/>
              </w:rPr>
            </w:pPr>
            <w:r>
              <w:rPr>
                <w:rFonts w:ascii="Times New Roman" w:hAnsi="Times New Roman" w:cs="Times New Roman"/>
                <w:b/>
                <w:bCs/>
              </w:rPr>
              <w:t>Man-</w:t>
            </w:r>
            <w:r w:rsidR="00C465F4" w:rsidRPr="00774D8A">
              <w:rPr>
                <w:rFonts w:ascii="Times New Roman" w:hAnsi="Times New Roman" w:cs="Times New Roman"/>
                <w:b/>
                <w:bCs/>
              </w:rPr>
              <w:t>Days per Year</w:t>
            </w:r>
          </w:p>
        </w:tc>
      </w:tr>
      <w:tr w:rsidR="00774D8A" w:rsidRPr="00774D8A" w14:paraId="01BEE7A6" w14:textId="0CC5E6AD" w:rsidTr="00774D8A">
        <w:trPr>
          <w:trHeight w:val="345"/>
        </w:trPr>
        <w:tc>
          <w:tcPr>
            <w:tcW w:w="2430" w:type="dxa"/>
            <w:vAlign w:val="center"/>
          </w:tcPr>
          <w:p w14:paraId="46E64D44" w14:textId="212A78F0" w:rsidR="00C465F4" w:rsidRPr="00774D8A" w:rsidRDefault="00C465F4" w:rsidP="009E0F69">
            <w:pPr>
              <w:pStyle w:val="NoSpacing"/>
              <w:rPr>
                <w:rFonts w:ascii="Times New Roman" w:hAnsi="Times New Roman" w:cs="Times New Roman"/>
              </w:rPr>
            </w:pPr>
            <w:r w:rsidRPr="00774D8A">
              <w:rPr>
                <w:rFonts w:ascii="Times New Roman" w:hAnsi="Times New Roman" w:cs="Times New Roman"/>
              </w:rPr>
              <w:t xml:space="preserve">Chief Internal Auditor </w:t>
            </w:r>
          </w:p>
        </w:tc>
        <w:tc>
          <w:tcPr>
            <w:tcW w:w="2430" w:type="dxa"/>
          </w:tcPr>
          <w:p w14:paraId="4255CC3A" w14:textId="1D9FF472"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1</w:t>
            </w:r>
          </w:p>
        </w:tc>
        <w:tc>
          <w:tcPr>
            <w:tcW w:w="2340" w:type="dxa"/>
            <w:vAlign w:val="center"/>
          </w:tcPr>
          <w:p w14:paraId="0C2EFD7A" w14:textId="02884F45"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4</w:t>
            </w:r>
          </w:p>
        </w:tc>
        <w:tc>
          <w:tcPr>
            <w:tcW w:w="2127" w:type="dxa"/>
          </w:tcPr>
          <w:p w14:paraId="1F2F3538" w14:textId="163C8A8E"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48</w:t>
            </w:r>
          </w:p>
        </w:tc>
      </w:tr>
      <w:tr w:rsidR="00774D8A" w:rsidRPr="00774D8A" w14:paraId="231F124B" w14:textId="71196BEC" w:rsidTr="00774D8A">
        <w:trPr>
          <w:trHeight w:val="345"/>
        </w:trPr>
        <w:tc>
          <w:tcPr>
            <w:tcW w:w="2430" w:type="dxa"/>
            <w:vAlign w:val="center"/>
          </w:tcPr>
          <w:p w14:paraId="13C972DF" w14:textId="71F27B5E" w:rsidR="00C465F4" w:rsidRPr="00774D8A" w:rsidRDefault="00C465F4" w:rsidP="009E0F69">
            <w:pPr>
              <w:pStyle w:val="NoSpacing"/>
              <w:rPr>
                <w:rFonts w:ascii="Times New Roman" w:hAnsi="Times New Roman" w:cs="Times New Roman"/>
              </w:rPr>
            </w:pPr>
            <w:r w:rsidRPr="00774D8A">
              <w:rPr>
                <w:rFonts w:ascii="Times New Roman" w:hAnsi="Times New Roman" w:cs="Times New Roman"/>
              </w:rPr>
              <w:t>Senior Internal Auditor</w:t>
            </w:r>
          </w:p>
        </w:tc>
        <w:tc>
          <w:tcPr>
            <w:tcW w:w="2430" w:type="dxa"/>
          </w:tcPr>
          <w:p w14:paraId="47B42795" w14:textId="1C716852"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1</w:t>
            </w:r>
          </w:p>
        </w:tc>
        <w:tc>
          <w:tcPr>
            <w:tcW w:w="2340" w:type="dxa"/>
            <w:vAlign w:val="center"/>
          </w:tcPr>
          <w:p w14:paraId="324884E5" w14:textId="7088B5D2"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4</w:t>
            </w:r>
          </w:p>
        </w:tc>
        <w:tc>
          <w:tcPr>
            <w:tcW w:w="2127" w:type="dxa"/>
          </w:tcPr>
          <w:p w14:paraId="774E40FB" w14:textId="1DF44D6B" w:rsidR="00C465F4" w:rsidRPr="00774D8A" w:rsidRDefault="00C465F4" w:rsidP="009E0F69">
            <w:pPr>
              <w:pStyle w:val="NoSpacing"/>
              <w:jc w:val="center"/>
              <w:rPr>
                <w:rFonts w:ascii="Times New Roman" w:hAnsi="Times New Roman" w:cs="Times New Roman"/>
              </w:rPr>
            </w:pPr>
            <w:r w:rsidRPr="00774D8A">
              <w:rPr>
                <w:rFonts w:ascii="Times New Roman" w:hAnsi="Times New Roman" w:cs="Times New Roman"/>
              </w:rPr>
              <w:t>48</w:t>
            </w:r>
          </w:p>
        </w:tc>
      </w:tr>
      <w:tr w:rsidR="00774D8A" w:rsidRPr="00774D8A" w14:paraId="412D61E4" w14:textId="101FCDF4" w:rsidTr="00774D8A">
        <w:trPr>
          <w:trHeight w:val="260"/>
        </w:trPr>
        <w:tc>
          <w:tcPr>
            <w:tcW w:w="2430" w:type="dxa"/>
            <w:vAlign w:val="bottom"/>
          </w:tcPr>
          <w:p w14:paraId="31A6EF27" w14:textId="77777777" w:rsidR="00C465F4" w:rsidRPr="00774D8A" w:rsidRDefault="00C465F4" w:rsidP="009E0F69">
            <w:pPr>
              <w:pStyle w:val="NoSpacing"/>
              <w:rPr>
                <w:rFonts w:ascii="Times New Roman" w:hAnsi="Times New Roman" w:cs="Times New Roman"/>
                <w:b/>
              </w:rPr>
            </w:pPr>
            <w:r w:rsidRPr="00774D8A">
              <w:rPr>
                <w:rFonts w:ascii="Times New Roman" w:hAnsi="Times New Roman" w:cs="Times New Roman"/>
                <w:b/>
              </w:rPr>
              <w:t xml:space="preserve">Total </w:t>
            </w:r>
          </w:p>
        </w:tc>
        <w:tc>
          <w:tcPr>
            <w:tcW w:w="2430" w:type="dxa"/>
          </w:tcPr>
          <w:p w14:paraId="180CDAF0" w14:textId="45BBE064" w:rsidR="00C465F4" w:rsidRPr="00774D8A" w:rsidRDefault="00C465F4" w:rsidP="009E0F69">
            <w:pPr>
              <w:pStyle w:val="NoSpacing"/>
              <w:jc w:val="center"/>
              <w:rPr>
                <w:rFonts w:ascii="Times New Roman" w:hAnsi="Times New Roman" w:cs="Times New Roman"/>
                <w:b/>
              </w:rPr>
            </w:pPr>
            <w:r w:rsidRPr="00774D8A">
              <w:rPr>
                <w:rFonts w:ascii="Times New Roman" w:hAnsi="Times New Roman" w:cs="Times New Roman"/>
                <w:b/>
              </w:rPr>
              <w:t>2</w:t>
            </w:r>
          </w:p>
        </w:tc>
        <w:tc>
          <w:tcPr>
            <w:tcW w:w="2340" w:type="dxa"/>
            <w:vAlign w:val="bottom"/>
          </w:tcPr>
          <w:p w14:paraId="6C317A4A" w14:textId="655F675A" w:rsidR="00C465F4" w:rsidRPr="00774D8A" w:rsidRDefault="00C465F4" w:rsidP="009E0F69">
            <w:pPr>
              <w:pStyle w:val="NoSpacing"/>
              <w:jc w:val="center"/>
              <w:rPr>
                <w:rFonts w:ascii="Times New Roman" w:hAnsi="Times New Roman" w:cs="Times New Roman"/>
                <w:b/>
              </w:rPr>
            </w:pPr>
            <w:r w:rsidRPr="00774D8A">
              <w:rPr>
                <w:rFonts w:ascii="Times New Roman" w:hAnsi="Times New Roman" w:cs="Times New Roman"/>
                <w:b/>
              </w:rPr>
              <w:t>8</w:t>
            </w:r>
          </w:p>
        </w:tc>
        <w:tc>
          <w:tcPr>
            <w:tcW w:w="2127" w:type="dxa"/>
          </w:tcPr>
          <w:p w14:paraId="2F2CCB5B" w14:textId="114EF8A4" w:rsidR="00C465F4" w:rsidRPr="00774D8A" w:rsidRDefault="00C465F4" w:rsidP="009E0F69">
            <w:pPr>
              <w:pStyle w:val="NoSpacing"/>
              <w:jc w:val="center"/>
              <w:rPr>
                <w:rFonts w:ascii="Times New Roman" w:hAnsi="Times New Roman" w:cs="Times New Roman"/>
                <w:b/>
              </w:rPr>
            </w:pPr>
            <w:r w:rsidRPr="00774D8A">
              <w:rPr>
                <w:rFonts w:ascii="Times New Roman" w:hAnsi="Times New Roman" w:cs="Times New Roman"/>
                <w:b/>
              </w:rPr>
              <w:t>96</w:t>
            </w:r>
          </w:p>
        </w:tc>
      </w:tr>
    </w:tbl>
    <w:p w14:paraId="04271CE5" w14:textId="39C991E9" w:rsidR="009E0F69" w:rsidRPr="00774D8A" w:rsidRDefault="009E0F69" w:rsidP="009E0F69">
      <w:pPr>
        <w:spacing w:after="0" w:line="240" w:lineRule="auto"/>
        <w:jc w:val="both"/>
        <w:rPr>
          <w:rFonts w:ascii="Times New Roman" w:hAnsi="Times New Roman" w:cs="Times New Roman"/>
          <w:sz w:val="24"/>
          <w:szCs w:val="24"/>
        </w:rPr>
      </w:pPr>
    </w:p>
    <w:p w14:paraId="1C3CAED8" w14:textId="77777777" w:rsidR="0077012D" w:rsidRPr="00774D8A" w:rsidRDefault="0077012D" w:rsidP="0077012D">
      <w:pPr>
        <w:pStyle w:val="ListParagraph"/>
        <w:jc w:val="both"/>
        <w:rPr>
          <w:rFonts w:ascii="Times New Roman" w:hAnsi="Times New Roman" w:cs="Times New Roman"/>
          <w:sz w:val="24"/>
          <w:szCs w:val="24"/>
        </w:rPr>
      </w:pPr>
    </w:p>
    <w:p w14:paraId="5F0C6132" w14:textId="741189F8" w:rsidR="0077012D" w:rsidRPr="00774D8A" w:rsidRDefault="0077012D" w:rsidP="00D54E3F">
      <w:pPr>
        <w:pStyle w:val="ListParagraph"/>
        <w:numPr>
          <w:ilvl w:val="0"/>
          <w:numId w:val="1"/>
        </w:numPr>
        <w:jc w:val="both"/>
        <w:rPr>
          <w:rFonts w:ascii="Times New Roman" w:hAnsi="Times New Roman" w:cs="Times New Roman"/>
          <w:b/>
          <w:sz w:val="24"/>
          <w:szCs w:val="24"/>
        </w:rPr>
      </w:pPr>
      <w:r w:rsidRPr="00774D8A">
        <w:rPr>
          <w:rFonts w:ascii="Times New Roman" w:hAnsi="Times New Roman" w:cs="Times New Roman"/>
          <w:b/>
          <w:sz w:val="24"/>
          <w:szCs w:val="24"/>
        </w:rPr>
        <w:t>Location of Assignment:</w:t>
      </w:r>
    </w:p>
    <w:p w14:paraId="78F99500" w14:textId="308572BB" w:rsidR="0077012D" w:rsidRPr="00774D8A" w:rsidRDefault="0077012D" w:rsidP="00D54E3F">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The assignment will be carried out at the FARA Secretariat, 12 </w:t>
      </w:r>
      <w:proofErr w:type="spellStart"/>
      <w:r w:rsidRPr="00774D8A">
        <w:rPr>
          <w:rFonts w:ascii="Times New Roman" w:hAnsi="Times New Roman" w:cs="Times New Roman"/>
          <w:sz w:val="24"/>
          <w:szCs w:val="24"/>
        </w:rPr>
        <w:t>Anmeda</w:t>
      </w:r>
      <w:proofErr w:type="spellEnd"/>
      <w:r w:rsidRPr="00774D8A">
        <w:rPr>
          <w:rFonts w:ascii="Times New Roman" w:hAnsi="Times New Roman" w:cs="Times New Roman"/>
          <w:sz w:val="24"/>
          <w:szCs w:val="24"/>
        </w:rPr>
        <w:t xml:space="preserve"> Street, Roman Ridge, Accra, Ghana and any other location that may be deemed appropriate but will be subject to further negotiations.</w:t>
      </w:r>
    </w:p>
    <w:p w14:paraId="1AC0F019" w14:textId="77777777" w:rsidR="0077012D" w:rsidRPr="00774D8A" w:rsidRDefault="0077012D" w:rsidP="000713C2">
      <w:pPr>
        <w:spacing w:after="0" w:line="240" w:lineRule="auto"/>
        <w:rPr>
          <w:rFonts w:ascii="Times New Roman" w:hAnsi="Times New Roman" w:cs="Times New Roman"/>
          <w:sz w:val="24"/>
          <w:szCs w:val="24"/>
        </w:rPr>
      </w:pPr>
    </w:p>
    <w:p w14:paraId="1966B634" w14:textId="1E4BF18E" w:rsidR="00387985" w:rsidRPr="00774D8A" w:rsidRDefault="00AD08F0" w:rsidP="00493547">
      <w:pPr>
        <w:pStyle w:val="ListParagraph"/>
        <w:numPr>
          <w:ilvl w:val="0"/>
          <w:numId w:val="1"/>
        </w:numPr>
        <w:spacing w:after="0" w:line="240" w:lineRule="auto"/>
        <w:ind w:left="425" w:hanging="425"/>
        <w:rPr>
          <w:rFonts w:ascii="Times New Roman" w:hAnsi="Times New Roman" w:cs="Times New Roman"/>
          <w:b/>
          <w:bCs/>
          <w:sz w:val="24"/>
          <w:szCs w:val="24"/>
        </w:rPr>
      </w:pPr>
      <w:r w:rsidRPr="00774D8A">
        <w:rPr>
          <w:rFonts w:ascii="Times New Roman" w:hAnsi="Times New Roman" w:cs="Times New Roman"/>
          <w:b/>
          <w:bCs/>
          <w:sz w:val="24"/>
          <w:szCs w:val="24"/>
        </w:rPr>
        <w:t>Professional Standards and D</w:t>
      </w:r>
      <w:r w:rsidR="00387985" w:rsidRPr="00774D8A">
        <w:rPr>
          <w:rFonts w:ascii="Times New Roman" w:hAnsi="Times New Roman" w:cs="Times New Roman"/>
          <w:b/>
          <w:bCs/>
          <w:sz w:val="24"/>
          <w:szCs w:val="24"/>
        </w:rPr>
        <w:t>isclosure</w:t>
      </w:r>
    </w:p>
    <w:p w14:paraId="1468A955" w14:textId="77777777" w:rsidR="00493547" w:rsidRPr="00774D8A" w:rsidRDefault="00493547" w:rsidP="00387985">
      <w:pPr>
        <w:spacing w:after="0" w:line="240" w:lineRule="auto"/>
        <w:rPr>
          <w:rFonts w:ascii="Times New Roman" w:hAnsi="Times New Roman" w:cs="Times New Roman"/>
          <w:sz w:val="24"/>
          <w:szCs w:val="24"/>
        </w:rPr>
      </w:pPr>
    </w:p>
    <w:p w14:paraId="3F625590" w14:textId="24C77F44" w:rsidR="00AD08F0" w:rsidRPr="00774D8A" w:rsidRDefault="00AD08F0" w:rsidP="00AD08F0">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 xml:space="preserve">All IA activity will be undertaken in accordance with FARA’s policies in order to ensure consistent professional standards are adopted. IA will adhere to the Code of Ethics and International Standards for the Professional Practice of Internal Auditing issued by the Institute of Internal Auditors – Ghana. IA effectiveness will be assessed annually. </w:t>
      </w:r>
    </w:p>
    <w:p w14:paraId="5C682B1F" w14:textId="77777777" w:rsidR="00AD08F0" w:rsidRPr="00774D8A" w:rsidRDefault="00AD08F0" w:rsidP="00AD08F0">
      <w:pPr>
        <w:spacing w:after="0" w:line="240" w:lineRule="auto"/>
        <w:jc w:val="both"/>
        <w:rPr>
          <w:rFonts w:ascii="Times New Roman" w:hAnsi="Times New Roman" w:cs="Times New Roman"/>
          <w:sz w:val="24"/>
          <w:szCs w:val="24"/>
        </w:rPr>
      </w:pPr>
    </w:p>
    <w:p w14:paraId="1CF0E068" w14:textId="3643DFE0" w:rsidR="00493547" w:rsidRPr="00774D8A" w:rsidRDefault="00AD08F0" w:rsidP="00AD08F0">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FARA’s external auditors and other stakeholders have the right to request any information including IA reports which may be requested by these external parties to allow them to discharge their obligations.</w:t>
      </w:r>
    </w:p>
    <w:p w14:paraId="38C6AE92" w14:textId="77777777" w:rsidR="004D0E53" w:rsidRPr="00774D8A" w:rsidRDefault="004D0E53" w:rsidP="00AD08F0">
      <w:pPr>
        <w:spacing w:after="0" w:line="240" w:lineRule="auto"/>
        <w:jc w:val="both"/>
        <w:rPr>
          <w:rFonts w:ascii="Times New Roman" w:hAnsi="Times New Roman" w:cs="Times New Roman"/>
          <w:sz w:val="24"/>
          <w:szCs w:val="24"/>
        </w:rPr>
      </w:pPr>
    </w:p>
    <w:p w14:paraId="29565638" w14:textId="3ECDE3CC" w:rsidR="004D0E53" w:rsidRPr="00774D8A" w:rsidRDefault="004D0E53" w:rsidP="004D0E53">
      <w:pPr>
        <w:pStyle w:val="Heading1"/>
        <w:numPr>
          <w:ilvl w:val="0"/>
          <w:numId w:val="1"/>
        </w:numPr>
        <w:tabs>
          <w:tab w:val="left" w:pos="732"/>
        </w:tabs>
        <w:jc w:val="both"/>
        <w:rPr>
          <w:rFonts w:cs="Times New Roman"/>
          <w:b w:val="0"/>
          <w:bCs w:val="0"/>
        </w:rPr>
      </w:pPr>
      <w:r w:rsidRPr="00774D8A">
        <w:rPr>
          <w:rFonts w:cs="Times New Roman"/>
          <w:spacing w:val="-1"/>
        </w:rPr>
        <w:t>Facilities</w:t>
      </w:r>
      <w:r w:rsidRPr="00774D8A">
        <w:rPr>
          <w:rFonts w:cs="Times New Roman"/>
          <w:spacing w:val="2"/>
        </w:rPr>
        <w:t xml:space="preserve"> </w:t>
      </w:r>
      <w:r w:rsidRPr="00774D8A">
        <w:rPr>
          <w:rFonts w:cs="Times New Roman"/>
        </w:rPr>
        <w:t xml:space="preserve">to be </w:t>
      </w:r>
      <w:r w:rsidRPr="00774D8A">
        <w:rPr>
          <w:rFonts w:cs="Times New Roman"/>
          <w:spacing w:val="-1"/>
        </w:rPr>
        <w:t>provided</w:t>
      </w:r>
      <w:r w:rsidRPr="00774D8A">
        <w:rPr>
          <w:rFonts w:cs="Times New Roman"/>
        </w:rPr>
        <w:t xml:space="preserve"> by</w:t>
      </w:r>
      <w:r w:rsidRPr="00774D8A">
        <w:rPr>
          <w:rFonts w:cs="Times New Roman"/>
          <w:spacing w:val="1"/>
        </w:rPr>
        <w:t xml:space="preserve"> </w:t>
      </w:r>
      <w:r w:rsidRPr="00774D8A">
        <w:rPr>
          <w:rFonts w:cs="Times New Roman"/>
        </w:rPr>
        <w:t>FARA</w:t>
      </w:r>
    </w:p>
    <w:p w14:paraId="0AFEB09C" w14:textId="77777777" w:rsidR="004D0E53" w:rsidRPr="00774D8A" w:rsidRDefault="004D0E53" w:rsidP="004D0E53">
      <w:pPr>
        <w:pStyle w:val="Heading1"/>
        <w:tabs>
          <w:tab w:val="left" w:pos="732"/>
        </w:tabs>
        <w:ind w:left="360" w:firstLine="0"/>
        <w:jc w:val="both"/>
        <w:rPr>
          <w:rFonts w:cs="Times New Roman"/>
          <w:b w:val="0"/>
          <w:bCs w:val="0"/>
        </w:rPr>
      </w:pPr>
    </w:p>
    <w:p w14:paraId="0393C839" w14:textId="09E6BE0B" w:rsidR="00496155" w:rsidRPr="00774D8A" w:rsidRDefault="00807C75" w:rsidP="00807C75">
      <w:pPr>
        <w:pStyle w:val="BodyText"/>
        <w:tabs>
          <w:tab w:val="left" w:pos="821"/>
        </w:tabs>
        <w:spacing w:before="4" w:line="274" w:lineRule="exact"/>
        <w:ind w:left="0" w:right="119"/>
        <w:jc w:val="both"/>
        <w:rPr>
          <w:rFonts w:cs="Times New Roman"/>
          <w:sz w:val="24"/>
          <w:szCs w:val="24"/>
        </w:rPr>
      </w:pPr>
      <w:r w:rsidRPr="00774D8A">
        <w:rPr>
          <w:rFonts w:cs="Times New Roman"/>
          <w:sz w:val="24"/>
          <w:szCs w:val="24"/>
        </w:rPr>
        <w:t xml:space="preserve">The Internal auditors shall be given access to all documents, correspondence, and any other information relating to the </w:t>
      </w:r>
      <w:proofErr w:type="spellStart"/>
      <w:r w:rsidRPr="00774D8A">
        <w:rPr>
          <w:rFonts w:cs="Times New Roman"/>
          <w:sz w:val="24"/>
          <w:szCs w:val="24"/>
        </w:rPr>
        <w:t>organisation</w:t>
      </w:r>
      <w:proofErr w:type="spellEnd"/>
      <w:r w:rsidRPr="00774D8A">
        <w:rPr>
          <w:rFonts w:cs="Times New Roman"/>
          <w:sz w:val="24"/>
          <w:szCs w:val="24"/>
        </w:rPr>
        <w:t>. The auditors shall be provided with the relevant policies and guidelines, Project Appraisal Documents (PADs) and other relevant documents.</w:t>
      </w:r>
    </w:p>
    <w:p w14:paraId="21083E3F" w14:textId="744D7999" w:rsidR="00496155" w:rsidRPr="00774D8A" w:rsidRDefault="00496155" w:rsidP="00AE76F0">
      <w:pPr>
        <w:pStyle w:val="BodyText"/>
        <w:tabs>
          <w:tab w:val="left" w:pos="821"/>
        </w:tabs>
        <w:spacing w:before="4" w:line="274" w:lineRule="exact"/>
        <w:ind w:left="0" w:right="119"/>
        <w:jc w:val="both"/>
        <w:rPr>
          <w:rFonts w:cs="Times New Roman"/>
          <w:sz w:val="24"/>
          <w:szCs w:val="24"/>
        </w:rPr>
      </w:pPr>
    </w:p>
    <w:p w14:paraId="64FFEB75" w14:textId="424A21E5" w:rsidR="00AE76F0" w:rsidRPr="00774D8A" w:rsidRDefault="00AE76F0" w:rsidP="00AE76F0">
      <w:pPr>
        <w:pStyle w:val="ListParagraph"/>
        <w:numPr>
          <w:ilvl w:val="0"/>
          <w:numId w:val="1"/>
        </w:numPr>
        <w:suppressAutoHyphens/>
        <w:rPr>
          <w:rFonts w:ascii="Times New Roman" w:hAnsi="Times New Roman" w:cs="Times New Roman"/>
          <w:b/>
          <w:bCs/>
          <w:spacing w:val="-2"/>
          <w:sz w:val="24"/>
          <w:szCs w:val="24"/>
        </w:rPr>
      </w:pPr>
      <w:r w:rsidRPr="00774D8A">
        <w:rPr>
          <w:rFonts w:ascii="Times New Roman" w:hAnsi="Times New Roman" w:cs="Times New Roman"/>
          <w:b/>
          <w:bCs/>
          <w:spacing w:val="-2"/>
          <w:sz w:val="24"/>
          <w:szCs w:val="24"/>
        </w:rPr>
        <w:t xml:space="preserve">Selection of </w:t>
      </w:r>
      <w:r w:rsidR="000E3848" w:rsidRPr="00774D8A">
        <w:rPr>
          <w:rFonts w:ascii="Times New Roman" w:hAnsi="Times New Roman" w:cs="Times New Roman"/>
          <w:b/>
          <w:bCs/>
          <w:spacing w:val="-2"/>
          <w:sz w:val="24"/>
          <w:szCs w:val="24"/>
        </w:rPr>
        <w:t xml:space="preserve">Audit </w:t>
      </w:r>
      <w:r w:rsidRPr="00774D8A">
        <w:rPr>
          <w:rFonts w:ascii="Times New Roman" w:hAnsi="Times New Roman" w:cs="Times New Roman"/>
          <w:b/>
          <w:bCs/>
          <w:spacing w:val="-2"/>
          <w:sz w:val="24"/>
          <w:szCs w:val="24"/>
        </w:rPr>
        <w:t>Firm</w:t>
      </w:r>
    </w:p>
    <w:p w14:paraId="39523805" w14:textId="1AD9CC75" w:rsidR="000E3848" w:rsidRPr="00774D8A" w:rsidRDefault="000E3848" w:rsidP="000E3848">
      <w:pPr>
        <w:spacing w:after="0" w:line="240" w:lineRule="auto"/>
        <w:jc w:val="both"/>
        <w:rPr>
          <w:rFonts w:ascii="Times New Roman" w:hAnsi="Times New Roman" w:cs="Times New Roman"/>
          <w:sz w:val="24"/>
          <w:szCs w:val="24"/>
        </w:rPr>
      </w:pPr>
      <w:r w:rsidRPr="00774D8A">
        <w:rPr>
          <w:rFonts w:ascii="Times New Roman" w:hAnsi="Times New Roman" w:cs="Times New Roman"/>
          <w:sz w:val="24"/>
          <w:szCs w:val="24"/>
        </w:rPr>
        <w:t>The firm will be selected based on Quality &amp; Cost Based Selection (QCBS) procedures defined in the Procurement Guidelines of FARA.</w:t>
      </w:r>
    </w:p>
    <w:p w14:paraId="050B24C4" w14:textId="0E110E79" w:rsidR="00496155" w:rsidRDefault="00496155" w:rsidP="00496155">
      <w:pPr>
        <w:pStyle w:val="BodyText"/>
        <w:tabs>
          <w:tab w:val="left" w:pos="821"/>
        </w:tabs>
        <w:spacing w:before="4" w:line="274" w:lineRule="exact"/>
        <w:ind w:left="1331" w:right="119"/>
        <w:jc w:val="both"/>
        <w:rPr>
          <w:rFonts w:cs="Times New Roman"/>
          <w:sz w:val="24"/>
          <w:szCs w:val="24"/>
        </w:rPr>
      </w:pPr>
    </w:p>
    <w:p w14:paraId="3F64E48A" w14:textId="1CA05EE6" w:rsidR="00774D8A" w:rsidRDefault="00774D8A" w:rsidP="00496155">
      <w:pPr>
        <w:pStyle w:val="BodyText"/>
        <w:tabs>
          <w:tab w:val="left" w:pos="821"/>
        </w:tabs>
        <w:spacing w:before="4" w:line="274" w:lineRule="exact"/>
        <w:ind w:left="1331" w:right="119"/>
        <w:jc w:val="both"/>
        <w:rPr>
          <w:rFonts w:cs="Times New Roman"/>
          <w:sz w:val="24"/>
          <w:szCs w:val="24"/>
        </w:rPr>
      </w:pPr>
    </w:p>
    <w:p w14:paraId="4F654C16" w14:textId="7C24BA1C" w:rsidR="00774D8A" w:rsidRDefault="00774D8A" w:rsidP="00496155">
      <w:pPr>
        <w:pStyle w:val="BodyText"/>
        <w:tabs>
          <w:tab w:val="left" w:pos="821"/>
        </w:tabs>
        <w:spacing w:before="4" w:line="274" w:lineRule="exact"/>
        <w:ind w:left="1331" w:right="119"/>
        <w:jc w:val="both"/>
        <w:rPr>
          <w:rFonts w:cs="Times New Roman"/>
          <w:sz w:val="24"/>
          <w:szCs w:val="24"/>
        </w:rPr>
      </w:pPr>
    </w:p>
    <w:p w14:paraId="2804C760" w14:textId="5A616373" w:rsidR="00774D8A" w:rsidRDefault="00774D8A" w:rsidP="00496155">
      <w:pPr>
        <w:pStyle w:val="BodyText"/>
        <w:tabs>
          <w:tab w:val="left" w:pos="821"/>
        </w:tabs>
        <w:spacing w:before="4" w:line="274" w:lineRule="exact"/>
        <w:ind w:left="1331" w:right="119"/>
        <w:jc w:val="both"/>
        <w:rPr>
          <w:rFonts w:cs="Times New Roman"/>
          <w:sz w:val="24"/>
          <w:szCs w:val="24"/>
        </w:rPr>
      </w:pPr>
    </w:p>
    <w:p w14:paraId="653107BE" w14:textId="2503037A" w:rsidR="00774D8A" w:rsidRDefault="00774D8A" w:rsidP="00496155">
      <w:pPr>
        <w:pStyle w:val="BodyText"/>
        <w:tabs>
          <w:tab w:val="left" w:pos="821"/>
        </w:tabs>
        <w:spacing w:before="4" w:line="274" w:lineRule="exact"/>
        <w:ind w:left="1331" w:right="119"/>
        <w:jc w:val="both"/>
        <w:rPr>
          <w:rFonts w:cs="Times New Roman"/>
          <w:sz w:val="24"/>
          <w:szCs w:val="24"/>
        </w:rPr>
      </w:pPr>
    </w:p>
    <w:p w14:paraId="7FA93808" w14:textId="19D78D82" w:rsidR="00774D8A" w:rsidRDefault="00774D8A" w:rsidP="00496155">
      <w:pPr>
        <w:pStyle w:val="BodyText"/>
        <w:tabs>
          <w:tab w:val="left" w:pos="821"/>
        </w:tabs>
        <w:spacing w:before="4" w:line="274" w:lineRule="exact"/>
        <w:ind w:left="1331" w:right="119"/>
        <w:jc w:val="both"/>
        <w:rPr>
          <w:rFonts w:cs="Times New Roman"/>
          <w:sz w:val="24"/>
          <w:szCs w:val="24"/>
        </w:rPr>
      </w:pPr>
    </w:p>
    <w:p w14:paraId="7D5C7EC7" w14:textId="77777777" w:rsidR="00774D8A" w:rsidRPr="00DA748E" w:rsidRDefault="00774D8A" w:rsidP="00496155">
      <w:pPr>
        <w:pStyle w:val="BodyText"/>
        <w:tabs>
          <w:tab w:val="left" w:pos="821"/>
        </w:tabs>
        <w:spacing w:before="4" w:line="274" w:lineRule="exact"/>
        <w:ind w:left="1331" w:right="119"/>
        <w:jc w:val="both"/>
        <w:rPr>
          <w:rFonts w:cs="Times New Roman"/>
          <w:sz w:val="24"/>
          <w:szCs w:val="24"/>
        </w:rPr>
      </w:pPr>
    </w:p>
    <w:p w14:paraId="3EDFE1CC" w14:textId="7A41EE25" w:rsidR="00496155" w:rsidRPr="00DA748E" w:rsidRDefault="00496155" w:rsidP="00496155">
      <w:pPr>
        <w:pStyle w:val="Heading1"/>
        <w:numPr>
          <w:ilvl w:val="0"/>
          <w:numId w:val="1"/>
        </w:numPr>
        <w:tabs>
          <w:tab w:val="left" w:pos="560"/>
        </w:tabs>
        <w:spacing w:before="40" w:line="276" w:lineRule="exact"/>
        <w:jc w:val="both"/>
        <w:rPr>
          <w:rFonts w:cs="Times New Roman"/>
          <w:b w:val="0"/>
          <w:bCs w:val="0"/>
        </w:rPr>
      </w:pPr>
      <w:r w:rsidRPr="00DA748E">
        <w:rPr>
          <w:rFonts w:cs="Times New Roman"/>
          <w:spacing w:val="-1"/>
        </w:rPr>
        <w:t>Application</w:t>
      </w:r>
      <w:r w:rsidRPr="00DA748E">
        <w:rPr>
          <w:rFonts w:cs="Times New Roman"/>
          <w:spacing w:val="2"/>
        </w:rPr>
        <w:t xml:space="preserve"> </w:t>
      </w:r>
      <w:r w:rsidRPr="00DA748E">
        <w:rPr>
          <w:rFonts w:cs="Times New Roman"/>
          <w:spacing w:val="-1"/>
        </w:rPr>
        <w:t>Process</w:t>
      </w:r>
    </w:p>
    <w:p w14:paraId="6B1C5BD6" w14:textId="77777777" w:rsidR="00774D8A" w:rsidRDefault="00774D8A" w:rsidP="00807C75">
      <w:pPr>
        <w:spacing w:after="160" w:line="259" w:lineRule="auto"/>
        <w:jc w:val="both"/>
        <w:rPr>
          <w:rFonts w:ascii="Times New Roman" w:hAnsi="Times New Roman" w:cs="Times New Roman"/>
          <w:sz w:val="24"/>
          <w:szCs w:val="24"/>
        </w:rPr>
      </w:pPr>
    </w:p>
    <w:p w14:paraId="32E8EB9A" w14:textId="23F48981" w:rsidR="00496155" w:rsidRPr="00774D8A" w:rsidRDefault="00496155" w:rsidP="00807C75">
      <w:pPr>
        <w:spacing w:after="160" w:line="259" w:lineRule="auto"/>
        <w:jc w:val="both"/>
        <w:rPr>
          <w:rFonts w:ascii="Times New Roman" w:hAnsi="Times New Roman" w:cs="Times New Roman"/>
          <w:sz w:val="24"/>
          <w:szCs w:val="24"/>
        </w:rPr>
      </w:pPr>
      <w:r w:rsidRPr="00DA748E">
        <w:rPr>
          <w:rFonts w:ascii="Times New Roman" w:hAnsi="Times New Roman" w:cs="Times New Roman"/>
          <w:sz w:val="24"/>
          <w:szCs w:val="24"/>
        </w:rPr>
        <w:lastRenderedPageBreak/>
        <w:t xml:space="preserve">Expressions of Interest should be submitted electronically to </w:t>
      </w:r>
      <w:r w:rsidRPr="00DA748E">
        <w:rPr>
          <w:rFonts w:ascii="Times New Roman" w:hAnsi="Times New Roman" w:cs="Times New Roman"/>
          <w:color w:val="0070C0"/>
          <w:sz w:val="24"/>
          <w:szCs w:val="24"/>
        </w:rPr>
        <w:t>[</w:t>
      </w:r>
      <w:r w:rsidRPr="00DA748E">
        <w:rPr>
          <w:rFonts w:ascii="Times New Roman" w:hAnsi="Times New Roman" w:cs="Times New Roman"/>
          <w:b/>
          <w:bCs/>
          <w:color w:val="0070C0"/>
          <w:sz w:val="24"/>
          <w:szCs w:val="24"/>
        </w:rPr>
        <w:t>recruitment@faraafrica.org</w:t>
      </w:r>
      <w:r w:rsidRPr="00DA748E">
        <w:rPr>
          <w:rFonts w:ascii="Times New Roman" w:hAnsi="Times New Roman" w:cs="Times New Roman"/>
          <w:color w:val="0070C0"/>
          <w:sz w:val="24"/>
          <w:szCs w:val="24"/>
        </w:rPr>
        <w:t xml:space="preserve">] </w:t>
      </w:r>
      <w:r w:rsidRPr="00DA748E">
        <w:rPr>
          <w:rFonts w:ascii="Times New Roman" w:hAnsi="Times New Roman" w:cs="Times New Roman"/>
          <w:sz w:val="24"/>
          <w:szCs w:val="24"/>
        </w:rPr>
        <w:t xml:space="preserve">and </w:t>
      </w:r>
      <w:r w:rsidRPr="00774D8A">
        <w:rPr>
          <w:rFonts w:ascii="Times New Roman" w:hAnsi="Times New Roman" w:cs="Times New Roman"/>
          <w:sz w:val="24"/>
          <w:szCs w:val="24"/>
        </w:rPr>
        <w:t xml:space="preserve">addressed to Dr. Yemi Akinbamijo, Executive Director of FARA, 12 </w:t>
      </w:r>
      <w:proofErr w:type="spellStart"/>
      <w:r w:rsidRPr="00774D8A">
        <w:rPr>
          <w:rFonts w:ascii="Times New Roman" w:hAnsi="Times New Roman" w:cs="Times New Roman"/>
          <w:sz w:val="24"/>
          <w:szCs w:val="24"/>
        </w:rPr>
        <w:t>Anmeda</w:t>
      </w:r>
      <w:proofErr w:type="spellEnd"/>
      <w:r w:rsidRPr="00774D8A">
        <w:rPr>
          <w:rFonts w:ascii="Times New Roman" w:hAnsi="Times New Roman" w:cs="Times New Roman"/>
          <w:sz w:val="24"/>
          <w:szCs w:val="24"/>
        </w:rPr>
        <w:t xml:space="preserve"> Street, Roman Ridge, Accra, Ghana, no later than </w:t>
      </w:r>
      <w:r w:rsidRPr="00774D8A">
        <w:rPr>
          <w:rFonts w:ascii="Times New Roman" w:hAnsi="Times New Roman" w:cs="Times New Roman"/>
          <w:b/>
          <w:bCs/>
          <w:sz w:val="24"/>
          <w:szCs w:val="24"/>
        </w:rPr>
        <w:t xml:space="preserve">Friday, </w:t>
      </w:r>
      <w:r w:rsidR="00774D8A">
        <w:rPr>
          <w:rFonts w:ascii="Times New Roman" w:hAnsi="Times New Roman" w:cs="Times New Roman"/>
          <w:b/>
          <w:bCs/>
          <w:sz w:val="24"/>
          <w:szCs w:val="24"/>
        </w:rPr>
        <w:t>26</w:t>
      </w:r>
      <w:r w:rsidRPr="00774D8A">
        <w:rPr>
          <w:rFonts w:ascii="Times New Roman" w:hAnsi="Times New Roman" w:cs="Times New Roman"/>
          <w:b/>
          <w:bCs/>
          <w:sz w:val="24"/>
          <w:szCs w:val="24"/>
          <w:vertAlign w:val="superscript"/>
        </w:rPr>
        <w:t>th</w:t>
      </w:r>
      <w:r w:rsidRPr="00774D8A">
        <w:rPr>
          <w:rFonts w:ascii="Times New Roman" w:hAnsi="Times New Roman" w:cs="Times New Roman"/>
          <w:b/>
          <w:bCs/>
          <w:sz w:val="24"/>
          <w:szCs w:val="24"/>
        </w:rPr>
        <w:t xml:space="preserve"> February, 2021, </w:t>
      </w:r>
      <w:r w:rsidRPr="00774D8A">
        <w:rPr>
          <w:rFonts w:ascii="Times New Roman" w:hAnsi="Times New Roman" w:cs="Times New Roman"/>
          <w:sz w:val="24"/>
          <w:szCs w:val="24"/>
        </w:rPr>
        <w:t>at</w:t>
      </w:r>
      <w:r w:rsidRPr="00774D8A">
        <w:rPr>
          <w:rFonts w:ascii="Times New Roman" w:hAnsi="Times New Roman" w:cs="Times New Roman"/>
          <w:b/>
          <w:bCs/>
          <w:sz w:val="24"/>
          <w:szCs w:val="24"/>
        </w:rPr>
        <w:t xml:space="preserve"> 14h00 GMT. </w:t>
      </w:r>
      <w:r w:rsidRPr="00774D8A">
        <w:rPr>
          <w:rFonts w:ascii="Times New Roman" w:hAnsi="Times New Roman" w:cs="Times New Roman"/>
          <w:sz w:val="24"/>
          <w:szCs w:val="24"/>
        </w:rPr>
        <w:t>Tel: +233 302 772823/744888.</w:t>
      </w:r>
    </w:p>
    <w:p w14:paraId="3FB96467" w14:textId="77777777" w:rsidR="00496155" w:rsidRPr="00774D8A" w:rsidRDefault="00496155" w:rsidP="00496155">
      <w:pPr>
        <w:jc w:val="both"/>
        <w:rPr>
          <w:rFonts w:ascii="Times New Roman" w:hAnsi="Times New Roman" w:cs="Times New Roman"/>
          <w:bCs/>
          <w:sz w:val="24"/>
          <w:szCs w:val="24"/>
        </w:rPr>
      </w:pPr>
    </w:p>
    <w:p w14:paraId="0DA64523" w14:textId="2DCD8022" w:rsidR="00496155" w:rsidRPr="00774D8A" w:rsidRDefault="00496155" w:rsidP="00496155">
      <w:pPr>
        <w:jc w:val="both"/>
        <w:rPr>
          <w:rFonts w:ascii="Times New Roman" w:hAnsi="Times New Roman" w:cs="Times New Roman"/>
          <w:bCs/>
          <w:sz w:val="24"/>
          <w:szCs w:val="24"/>
        </w:rPr>
      </w:pPr>
      <w:r w:rsidRPr="00774D8A">
        <w:rPr>
          <w:rFonts w:ascii="Times New Roman" w:hAnsi="Times New Roman" w:cs="Times New Roman"/>
          <w:bCs/>
          <w:sz w:val="24"/>
          <w:szCs w:val="24"/>
        </w:rPr>
        <w:t xml:space="preserve">FARA Affirmative Action Statement on Recruitment: </w:t>
      </w:r>
      <w:r w:rsidRPr="00774D8A">
        <w:rPr>
          <w:rFonts w:ascii="Times New Roman" w:hAnsi="Times New Roman" w:cs="Times New Roman"/>
          <w:bCs/>
          <w:i/>
          <w:iCs/>
          <w:sz w:val="24"/>
          <w:szCs w:val="24"/>
        </w:rPr>
        <w:t>there is no discrimination based on gender race, religion, ethnic orientation, disability or health status.</w:t>
      </w:r>
    </w:p>
    <w:p w14:paraId="3EB70E5B" w14:textId="77777777" w:rsidR="00496155" w:rsidRPr="00DA748E" w:rsidRDefault="00496155" w:rsidP="00496155">
      <w:pPr>
        <w:autoSpaceDE w:val="0"/>
        <w:autoSpaceDN w:val="0"/>
        <w:adjustRightInd w:val="0"/>
        <w:spacing w:after="0" w:line="240" w:lineRule="auto"/>
        <w:ind w:left="360"/>
        <w:jc w:val="both"/>
        <w:rPr>
          <w:rFonts w:ascii="Times New Roman" w:hAnsi="Times New Roman" w:cs="Times New Roman"/>
          <w:sz w:val="24"/>
          <w:szCs w:val="24"/>
        </w:rPr>
      </w:pPr>
    </w:p>
    <w:p w14:paraId="071AC724" w14:textId="77777777" w:rsidR="004D0E53" w:rsidRPr="00DA748E" w:rsidRDefault="004D0E53" w:rsidP="00AD08F0">
      <w:pPr>
        <w:spacing w:after="0" w:line="240" w:lineRule="auto"/>
        <w:jc w:val="both"/>
        <w:rPr>
          <w:rFonts w:ascii="Times New Roman" w:hAnsi="Times New Roman" w:cs="Times New Roman"/>
          <w:color w:val="4F81BD" w:themeColor="accent1"/>
          <w:sz w:val="24"/>
          <w:szCs w:val="24"/>
        </w:rPr>
      </w:pPr>
    </w:p>
    <w:sectPr w:rsidR="004D0E53" w:rsidRPr="00DA748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629E" w14:textId="77777777" w:rsidR="003E520C" w:rsidRDefault="003E520C" w:rsidP="009B6694">
      <w:pPr>
        <w:spacing w:after="0" w:line="240" w:lineRule="auto"/>
      </w:pPr>
      <w:r>
        <w:separator/>
      </w:r>
    </w:p>
  </w:endnote>
  <w:endnote w:type="continuationSeparator" w:id="0">
    <w:p w14:paraId="7BAA2CF0" w14:textId="77777777" w:rsidR="003E520C" w:rsidRDefault="003E520C" w:rsidP="009B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371005"/>
      <w:docPartObj>
        <w:docPartGallery w:val="Page Numbers (Bottom of Page)"/>
        <w:docPartUnique/>
      </w:docPartObj>
    </w:sdtPr>
    <w:sdtEndPr>
      <w:rPr>
        <w:color w:val="7F7F7F" w:themeColor="background1" w:themeShade="7F"/>
        <w:spacing w:val="60"/>
      </w:rPr>
    </w:sdtEndPr>
    <w:sdtContent>
      <w:p w14:paraId="3799EDF0" w14:textId="5670A512" w:rsidR="00DA748E" w:rsidRDefault="00DA74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9E8FF3" w14:textId="42EA7B7B" w:rsidR="00995136" w:rsidRDefault="0099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43C7" w14:textId="77777777" w:rsidR="003E520C" w:rsidRDefault="003E520C" w:rsidP="009B6694">
      <w:pPr>
        <w:spacing w:after="0" w:line="240" w:lineRule="auto"/>
      </w:pPr>
      <w:r>
        <w:separator/>
      </w:r>
    </w:p>
  </w:footnote>
  <w:footnote w:type="continuationSeparator" w:id="0">
    <w:p w14:paraId="5F5ABDB7" w14:textId="77777777" w:rsidR="003E520C" w:rsidRDefault="003E520C" w:rsidP="009B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F1C"/>
    <w:multiLevelType w:val="hybridMultilevel"/>
    <w:tmpl w:val="3A6C8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A1318"/>
    <w:multiLevelType w:val="hybridMultilevel"/>
    <w:tmpl w:val="853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76D2"/>
    <w:multiLevelType w:val="hybridMultilevel"/>
    <w:tmpl w:val="2D9E8DA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F722B"/>
    <w:multiLevelType w:val="hybridMultilevel"/>
    <w:tmpl w:val="442E24F8"/>
    <w:lvl w:ilvl="0" w:tplc="08090017">
      <w:start w:val="1"/>
      <w:numFmt w:val="low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71166"/>
    <w:multiLevelType w:val="hybridMultilevel"/>
    <w:tmpl w:val="749A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64BB2"/>
    <w:multiLevelType w:val="hybridMultilevel"/>
    <w:tmpl w:val="BA26FE40"/>
    <w:lvl w:ilvl="0" w:tplc="968293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18AF"/>
    <w:multiLevelType w:val="hybridMultilevel"/>
    <w:tmpl w:val="E026D04A"/>
    <w:lvl w:ilvl="0" w:tplc="2102CD26">
      <w:start w:val="1"/>
      <w:numFmt w:val="lowerLetter"/>
      <w:lvlText w:val="%1)"/>
      <w:lvlJc w:val="left"/>
      <w:pPr>
        <w:ind w:left="720" w:hanging="360"/>
      </w:pPr>
      <w:rPr>
        <w:rFonts w:hint="default"/>
        <w:i/>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063BF"/>
    <w:multiLevelType w:val="hybridMultilevel"/>
    <w:tmpl w:val="CB40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14494"/>
    <w:multiLevelType w:val="hybridMultilevel"/>
    <w:tmpl w:val="6A04A39E"/>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5D413AA"/>
    <w:multiLevelType w:val="multilevel"/>
    <w:tmpl w:val="475ACB7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5F7B27"/>
    <w:multiLevelType w:val="hybridMultilevel"/>
    <w:tmpl w:val="96ACAD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A16D2"/>
    <w:multiLevelType w:val="hybridMultilevel"/>
    <w:tmpl w:val="5330D52C"/>
    <w:lvl w:ilvl="0" w:tplc="5DF266A6">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E13B4"/>
    <w:multiLevelType w:val="hybridMultilevel"/>
    <w:tmpl w:val="468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E19C1"/>
    <w:multiLevelType w:val="hybridMultilevel"/>
    <w:tmpl w:val="5EE6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A0D27"/>
    <w:multiLevelType w:val="hybridMultilevel"/>
    <w:tmpl w:val="6DD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E4207"/>
    <w:multiLevelType w:val="hybridMultilevel"/>
    <w:tmpl w:val="ABA2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57066"/>
    <w:multiLevelType w:val="hybridMultilevel"/>
    <w:tmpl w:val="90EEA52A"/>
    <w:lvl w:ilvl="0" w:tplc="EB3E68D2">
      <w:start w:val="1"/>
      <w:numFmt w:val="upperLetter"/>
      <w:lvlText w:val="%1."/>
      <w:lvlJc w:val="left"/>
      <w:pPr>
        <w:ind w:left="720" w:hanging="360"/>
      </w:pPr>
      <w:rPr>
        <w:rFonts w:hint="default"/>
        <w:b/>
        <w:color w:val="auto"/>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450C8C"/>
    <w:multiLevelType w:val="hybridMultilevel"/>
    <w:tmpl w:val="C97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6EB4"/>
    <w:multiLevelType w:val="hybridMultilevel"/>
    <w:tmpl w:val="686A2A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6B3C18A4"/>
    <w:multiLevelType w:val="hybridMultilevel"/>
    <w:tmpl w:val="188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64C05"/>
    <w:multiLevelType w:val="hybridMultilevel"/>
    <w:tmpl w:val="2B5CB08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818F8"/>
    <w:multiLevelType w:val="hybridMultilevel"/>
    <w:tmpl w:val="9D02F134"/>
    <w:lvl w:ilvl="0" w:tplc="3154B300">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C384F"/>
    <w:multiLevelType w:val="hybridMultilevel"/>
    <w:tmpl w:val="DF149684"/>
    <w:lvl w:ilvl="0" w:tplc="EC889F4E">
      <w:start w:val="1"/>
      <w:numFmt w:val="upperLetter"/>
      <w:lvlText w:val="%1."/>
      <w:lvlJc w:val="left"/>
      <w:pPr>
        <w:ind w:left="552" w:hanging="452"/>
        <w:jc w:val="left"/>
      </w:pPr>
      <w:rPr>
        <w:rFonts w:ascii="Times New Roman" w:eastAsia="Times New Roman" w:hAnsi="Times New Roman" w:hint="default"/>
        <w:b/>
        <w:bCs/>
        <w:spacing w:val="-1"/>
        <w:sz w:val="24"/>
        <w:szCs w:val="24"/>
      </w:rPr>
    </w:lvl>
    <w:lvl w:ilvl="1" w:tplc="E3362AEA">
      <w:start w:val="1"/>
      <w:numFmt w:val="bullet"/>
      <w:lvlText w:val="▪"/>
      <w:lvlJc w:val="left"/>
      <w:pPr>
        <w:ind w:left="821" w:hanging="361"/>
      </w:pPr>
      <w:rPr>
        <w:rFonts w:ascii="Microsoft Sans Serif" w:eastAsia="Microsoft Sans Serif" w:hAnsi="Microsoft Sans Serif" w:hint="default"/>
        <w:w w:val="129"/>
        <w:sz w:val="24"/>
        <w:szCs w:val="24"/>
      </w:rPr>
    </w:lvl>
    <w:lvl w:ilvl="2" w:tplc="DBD87A72">
      <w:start w:val="1"/>
      <w:numFmt w:val="bullet"/>
      <w:lvlText w:val="•"/>
      <w:lvlJc w:val="left"/>
      <w:pPr>
        <w:ind w:left="1757" w:hanging="361"/>
      </w:pPr>
      <w:rPr>
        <w:rFonts w:hint="default"/>
      </w:rPr>
    </w:lvl>
    <w:lvl w:ilvl="3" w:tplc="06789DCC">
      <w:start w:val="1"/>
      <w:numFmt w:val="bullet"/>
      <w:lvlText w:val="•"/>
      <w:lvlJc w:val="left"/>
      <w:pPr>
        <w:ind w:left="2693" w:hanging="361"/>
      </w:pPr>
      <w:rPr>
        <w:rFonts w:hint="default"/>
      </w:rPr>
    </w:lvl>
    <w:lvl w:ilvl="4" w:tplc="06820D86">
      <w:start w:val="1"/>
      <w:numFmt w:val="bullet"/>
      <w:lvlText w:val="•"/>
      <w:lvlJc w:val="left"/>
      <w:pPr>
        <w:ind w:left="3630" w:hanging="361"/>
      </w:pPr>
      <w:rPr>
        <w:rFonts w:hint="default"/>
      </w:rPr>
    </w:lvl>
    <w:lvl w:ilvl="5" w:tplc="1116FC0C">
      <w:start w:val="1"/>
      <w:numFmt w:val="bullet"/>
      <w:lvlText w:val="•"/>
      <w:lvlJc w:val="left"/>
      <w:pPr>
        <w:ind w:left="4566" w:hanging="361"/>
      </w:pPr>
      <w:rPr>
        <w:rFonts w:hint="default"/>
      </w:rPr>
    </w:lvl>
    <w:lvl w:ilvl="6" w:tplc="12EAD864">
      <w:start w:val="1"/>
      <w:numFmt w:val="bullet"/>
      <w:lvlText w:val="•"/>
      <w:lvlJc w:val="left"/>
      <w:pPr>
        <w:ind w:left="5503" w:hanging="361"/>
      </w:pPr>
      <w:rPr>
        <w:rFonts w:hint="default"/>
      </w:rPr>
    </w:lvl>
    <w:lvl w:ilvl="7" w:tplc="1DB4C362">
      <w:start w:val="1"/>
      <w:numFmt w:val="bullet"/>
      <w:lvlText w:val="•"/>
      <w:lvlJc w:val="left"/>
      <w:pPr>
        <w:ind w:left="6439" w:hanging="361"/>
      </w:pPr>
      <w:rPr>
        <w:rFonts w:hint="default"/>
      </w:rPr>
    </w:lvl>
    <w:lvl w:ilvl="8" w:tplc="3DBA98A6">
      <w:start w:val="1"/>
      <w:numFmt w:val="bullet"/>
      <w:lvlText w:val="•"/>
      <w:lvlJc w:val="left"/>
      <w:pPr>
        <w:ind w:left="7375" w:hanging="361"/>
      </w:pPr>
      <w:rPr>
        <w:rFonts w:hint="default"/>
      </w:rPr>
    </w:lvl>
  </w:abstractNum>
  <w:abstractNum w:abstractNumId="23" w15:restartNumberingAfterBreak="0">
    <w:nsid w:val="78CF6757"/>
    <w:multiLevelType w:val="hybridMultilevel"/>
    <w:tmpl w:val="87C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7"/>
  </w:num>
  <w:num w:numId="5">
    <w:abstractNumId w:val="2"/>
  </w:num>
  <w:num w:numId="6">
    <w:abstractNumId w:val="8"/>
  </w:num>
  <w:num w:numId="7">
    <w:abstractNumId w:val="23"/>
  </w:num>
  <w:num w:numId="8">
    <w:abstractNumId w:val="4"/>
  </w:num>
  <w:num w:numId="9">
    <w:abstractNumId w:val="1"/>
  </w:num>
  <w:num w:numId="10">
    <w:abstractNumId w:val="6"/>
  </w:num>
  <w:num w:numId="11">
    <w:abstractNumId w:val="14"/>
  </w:num>
  <w:num w:numId="12">
    <w:abstractNumId w:val="11"/>
  </w:num>
  <w:num w:numId="13">
    <w:abstractNumId w:val="20"/>
  </w:num>
  <w:num w:numId="14">
    <w:abstractNumId w:val="10"/>
  </w:num>
  <w:num w:numId="15">
    <w:abstractNumId w:val="3"/>
  </w:num>
  <w:num w:numId="16">
    <w:abstractNumId w:val="15"/>
  </w:num>
  <w:num w:numId="17">
    <w:abstractNumId w:val="5"/>
  </w:num>
  <w:num w:numId="18">
    <w:abstractNumId w:val="19"/>
  </w:num>
  <w:num w:numId="19">
    <w:abstractNumId w:val="12"/>
  </w:num>
  <w:num w:numId="20">
    <w:abstractNumId w:val="16"/>
  </w:num>
  <w:num w:numId="21">
    <w:abstractNumId w:val="22"/>
  </w:num>
  <w:num w:numId="22">
    <w:abstractNumId w:val="2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7E"/>
    <w:rsid w:val="000713C2"/>
    <w:rsid w:val="000A61FE"/>
    <w:rsid w:val="000D7DE7"/>
    <w:rsid w:val="000E3848"/>
    <w:rsid w:val="0013341B"/>
    <w:rsid w:val="00151997"/>
    <w:rsid w:val="0017331C"/>
    <w:rsid w:val="00190495"/>
    <w:rsid w:val="001C2655"/>
    <w:rsid w:val="001E3E9B"/>
    <w:rsid w:val="001F6017"/>
    <w:rsid w:val="00221F7E"/>
    <w:rsid w:val="002B2C53"/>
    <w:rsid w:val="002D5C29"/>
    <w:rsid w:val="00322395"/>
    <w:rsid w:val="00346524"/>
    <w:rsid w:val="00387985"/>
    <w:rsid w:val="003E520C"/>
    <w:rsid w:val="003F0966"/>
    <w:rsid w:val="004110D5"/>
    <w:rsid w:val="00412A02"/>
    <w:rsid w:val="00430A69"/>
    <w:rsid w:val="00481D18"/>
    <w:rsid w:val="00493547"/>
    <w:rsid w:val="00496155"/>
    <w:rsid w:val="004A585A"/>
    <w:rsid w:val="004C0F33"/>
    <w:rsid w:val="004D0E53"/>
    <w:rsid w:val="004E0B0F"/>
    <w:rsid w:val="00513537"/>
    <w:rsid w:val="00522318"/>
    <w:rsid w:val="00556928"/>
    <w:rsid w:val="005F6BCB"/>
    <w:rsid w:val="006677FB"/>
    <w:rsid w:val="00681E49"/>
    <w:rsid w:val="00713430"/>
    <w:rsid w:val="007465A3"/>
    <w:rsid w:val="007670F8"/>
    <w:rsid w:val="0077012D"/>
    <w:rsid w:val="00774D8A"/>
    <w:rsid w:val="007D2A5F"/>
    <w:rsid w:val="007E4104"/>
    <w:rsid w:val="00807C75"/>
    <w:rsid w:val="00965474"/>
    <w:rsid w:val="00995136"/>
    <w:rsid w:val="009A60F7"/>
    <w:rsid w:val="009B6694"/>
    <w:rsid w:val="009C4AA0"/>
    <w:rsid w:val="009E0F69"/>
    <w:rsid w:val="00A33BB3"/>
    <w:rsid w:val="00A8499E"/>
    <w:rsid w:val="00AD08F0"/>
    <w:rsid w:val="00AD5197"/>
    <w:rsid w:val="00AD6A7B"/>
    <w:rsid w:val="00AE76F0"/>
    <w:rsid w:val="00B030CF"/>
    <w:rsid w:val="00B3393B"/>
    <w:rsid w:val="00B81324"/>
    <w:rsid w:val="00BD6A5A"/>
    <w:rsid w:val="00BF65E8"/>
    <w:rsid w:val="00C049F2"/>
    <w:rsid w:val="00C23399"/>
    <w:rsid w:val="00C451D7"/>
    <w:rsid w:val="00C465F4"/>
    <w:rsid w:val="00CA1659"/>
    <w:rsid w:val="00CA5D2F"/>
    <w:rsid w:val="00CC6205"/>
    <w:rsid w:val="00D47F65"/>
    <w:rsid w:val="00D54E3F"/>
    <w:rsid w:val="00D83608"/>
    <w:rsid w:val="00D91BC6"/>
    <w:rsid w:val="00DA748E"/>
    <w:rsid w:val="00E904BE"/>
    <w:rsid w:val="00EF5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18DD"/>
  <w15:docId w15:val="{2CAE3866-FCD8-400C-98F0-9A06117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E53"/>
    <w:pPr>
      <w:widowControl w:val="0"/>
      <w:spacing w:after="0" w:line="240" w:lineRule="auto"/>
      <w:ind w:left="56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References,Numbered paragraph,List Paragraph1,Paragraphe de liste1,List Paragraph2,Medium Grid 1 - Accent 21,Bullets,Numbered List Paragraph,ReferencesCxSpLast,List Paragraph nowy,Liste 1"/>
    <w:basedOn w:val="Normal"/>
    <w:link w:val="ListParagraphChar"/>
    <w:uiPriority w:val="34"/>
    <w:qFormat/>
    <w:rsid w:val="004C0F33"/>
    <w:pPr>
      <w:ind w:left="720"/>
      <w:contextualSpacing/>
    </w:pPr>
  </w:style>
  <w:style w:type="character" w:styleId="Hyperlink">
    <w:name w:val="Hyperlink"/>
    <w:basedOn w:val="DefaultParagraphFont"/>
    <w:uiPriority w:val="99"/>
    <w:unhideWhenUsed/>
    <w:rsid w:val="000D7DE7"/>
    <w:rPr>
      <w:color w:val="0000FF" w:themeColor="hyperlink"/>
      <w:u w:val="single"/>
    </w:rPr>
  </w:style>
  <w:style w:type="paragraph" w:styleId="EndnoteText">
    <w:name w:val="endnote text"/>
    <w:basedOn w:val="Normal"/>
    <w:link w:val="EndnoteTextChar"/>
    <w:uiPriority w:val="99"/>
    <w:semiHidden/>
    <w:unhideWhenUsed/>
    <w:rsid w:val="009B66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694"/>
    <w:rPr>
      <w:sz w:val="20"/>
      <w:szCs w:val="20"/>
    </w:rPr>
  </w:style>
  <w:style w:type="character" w:styleId="EndnoteReference">
    <w:name w:val="endnote reference"/>
    <w:basedOn w:val="DefaultParagraphFont"/>
    <w:uiPriority w:val="99"/>
    <w:semiHidden/>
    <w:unhideWhenUsed/>
    <w:rsid w:val="009B6694"/>
    <w:rPr>
      <w:vertAlign w:val="superscript"/>
    </w:rPr>
  </w:style>
  <w:style w:type="paragraph" w:styleId="FootnoteText">
    <w:name w:val="footnote text"/>
    <w:basedOn w:val="Normal"/>
    <w:link w:val="FootnoteTextChar"/>
    <w:uiPriority w:val="99"/>
    <w:semiHidden/>
    <w:unhideWhenUsed/>
    <w:rsid w:val="00667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7FB"/>
    <w:rPr>
      <w:sz w:val="20"/>
      <w:szCs w:val="20"/>
    </w:rPr>
  </w:style>
  <w:style w:type="character" w:styleId="FootnoteReference">
    <w:name w:val="footnote reference"/>
    <w:basedOn w:val="DefaultParagraphFont"/>
    <w:uiPriority w:val="99"/>
    <w:semiHidden/>
    <w:unhideWhenUsed/>
    <w:rsid w:val="006677FB"/>
    <w:rPr>
      <w:vertAlign w:val="superscript"/>
    </w:rPr>
  </w:style>
  <w:style w:type="paragraph" w:styleId="Header">
    <w:name w:val="header"/>
    <w:basedOn w:val="Normal"/>
    <w:link w:val="HeaderChar"/>
    <w:uiPriority w:val="99"/>
    <w:unhideWhenUsed/>
    <w:rsid w:val="0099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36"/>
  </w:style>
  <w:style w:type="paragraph" w:styleId="Footer">
    <w:name w:val="footer"/>
    <w:basedOn w:val="Normal"/>
    <w:link w:val="FooterChar"/>
    <w:uiPriority w:val="99"/>
    <w:unhideWhenUsed/>
    <w:rsid w:val="0099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36"/>
  </w:style>
  <w:style w:type="character" w:styleId="FollowedHyperlink">
    <w:name w:val="FollowedHyperlink"/>
    <w:basedOn w:val="DefaultParagraphFont"/>
    <w:uiPriority w:val="99"/>
    <w:semiHidden/>
    <w:unhideWhenUsed/>
    <w:rsid w:val="00995136"/>
    <w:rPr>
      <w:color w:val="800080" w:themeColor="followedHyperlink"/>
      <w:u w:val="single"/>
    </w:rPr>
  </w:style>
  <w:style w:type="paragraph" w:styleId="BalloonText">
    <w:name w:val="Balloon Text"/>
    <w:basedOn w:val="Normal"/>
    <w:link w:val="BalloonTextChar"/>
    <w:uiPriority w:val="99"/>
    <w:semiHidden/>
    <w:unhideWhenUsed/>
    <w:rsid w:val="0048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18"/>
    <w:rPr>
      <w:rFonts w:ascii="Segoe UI" w:hAnsi="Segoe UI" w:cs="Segoe UI"/>
      <w:sz w:val="18"/>
      <w:szCs w:val="18"/>
    </w:rPr>
  </w:style>
  <w:style w:type="character" w:customStyle="1" w:styleId="ListParagraphChar">
    <w:name w:val="List Paragraph Char"/>
    <w:aliases w:val="Citation List Char,본문(내용) Char,List Paragraph (numbered (a)) Char,References Char,Numbered paragraph Char,List Paragraph1 Char,Paragraphe de liste1 Char,List Paragraph2 Char,Medium Grid 1 - Accent 21 Char,Bullets Char,Liste 1 Char"/>
    <w:basedOn w:val="DefaultParagraphFont"/>
    <w:link w:val="ListParagraph"/>
    <w:uiPriority w:val="34"/>
    <w:qFormat/>
    <w:rsid w:val="0077012D"/>
  </w:style>
  <w:style w:type="character" w:customStyle="1" w:styleId="Heading1Char">
    <w:name w:val="Heading 1 Char"/>
    <w:basedOn w:val="DefaultParagraphFont"/>
    <w:link w:val="Heading1"/>
    <w:uiPriority w:val="9"/>
    <w:rsid w:val="004D0E53"/>
    <w:rPr>
      <w:rFonts w:ascii="Times New Roman" w:eastAsia="Times New Roman" w:hAnsi="Times New Roman"/>
      <w:b/>
      <w:bCs/>
      <w:sz w:val="24"/>
      <w:szCs w:val="24"/>
    </w:rPr>
  </w:style>
  <w:style w:type="paragraph" w:styleId="BodyText">
    <w:name w:val="Body Text"/>
    <w:basedOn w:val="Normal"/>
    <w:link w:val="BodyTextChar"/>
    <w:uiPriority w:val="1"/>
    <w:qFormat/>
    <w:rsid w:val="004D0E53"/>
    <w:pPr>
      <w:widowControl w:val="0"/>
      <w:spacing w:before="119" w:after="0" w:line="240" w:lineRule="auto"/>
      <w:ind w:left="560"/>
    </w:pPr>
    <w:rPr>
      <w:rFonts w:ascii="Times New Roman" w:eastAsia="Times New Roman" w:hAnsi="Times New Roman"/>
    </w:rPr>
  </w:style>
  <w:style w:type="character" w:customStyle="1" w:styleId="BodyTextChar">
    <w:name w:val="Body Text Char"/>
    <w:basedOn w:val="DefaultParagraphFont"/>
    <w:link w:val="BodyText"/>
    <w:uiPriority w:val="1"/>
    <w:rsid w:val="004D0E53"/>
    <w:rPr>
      <w:rFonts w:ascii="Times New Roman" w:eastAsia="Times New Roman" w:hAnsi="Times New Roman"/>
    </w:rPr>
  </w:style>
  <w:style w:type="paragraph" w:styleId="NoSpacing">
    <w:name w:val="No Spacing"/>
    <w:uiPriority w:val="1"/>
    <w:qFormat/>
    <w:rsid w:val="009E0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72D8-13E0-4D52-862D-8C86D5F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1801</Words>
  <Characters>10269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Sholeh, Arip Syaman</dc:creator>
  <cp:lastModifiedBy>Ama Pokuah Asenso</cp:lastModifiedBy>
  <cp:revision>2</cp:revision>
  <dcterms:created xsi:type="dcterms:W3CDTF">2021-01-29T10:01:00Z</dcterms:created>
  <dcterms:modified xsi:type="dcterms:W3CDTF">2021-01-29T10:01:00Z</dcterms:modified>
</cp:coreProperties>
</file>